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40B" w:rsidRDefault="00EE1EE0">
      <w:pPr>
        <w:rPr>
          <w:rFonts w:cs="Tahoma"/>
          <w:b/>
          <w:bCs/>
        </w:rPr>
      </w:pPr>
      <w:r>
        <w:rPr>
          <w:rFonts w:cs="Tahoma"/>
          <w:b/>
          <w:bCs/>
        </w:rPr>
        <w:t>Katalog</w:t>
      </w:r>
      <w:r w:rsidR="0095440B">
        <w:rPr>
          <w:rFonts w:cs="Tahoma"/>
          <w:b/>
          <w:bCs/>
        </w:rPr>
        <w:t xml:space="preserve"> informacij javnega značaja</w:t>
      </w:r>
    </w:p>
    <w:p w:rsidR="0095440B" w:rsidRDefault="0095440B">
      <w:pPr>
        <w:rPr>
          <w:rFonts w:cs="Tahoma"/>
        </w:rPr>
      </w:pPr>
    </w:p>
    <w:p w:rsidR="0095440B" w:rsidRDefault="0095440B">
      <w:pPr>
        <w:tabs>
          <w:tab w:val="left" w:pos="3261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6162"/>
      </w:tblGrid>
      <w:tr w:rsidR="0095440B">
        <w:tc>
          <w:tcPr>
            <w:tcW w:w="9211" w:type="dxa"/>
            <w:gridSpan w:val="2"/>
            <w:shd w:val="clear" w:color="auto" w:fill="99CC00"/>
          </w:tcPr>
          <w:p w:rsidR="0095440B" w:rsidRPr="009E3712" w:rsidRDefault="0095440B">
            <w:pPr>
              <w:tabs>
                <w:tab w:val="left" w:pos="3261"/>
              </w:tabs>
              <w:rPr>
                <w:b/>
                <w:smallCaps/>
                <w:sz w:val="22"/>
                <w:szCs w:val="22"/>
              </w:rPr>
            </w:pPr>
            <w:r w:rsidRPr="009E3712">
              <w:rPr>
                <w:b/>
                <w:smallCaps/>
                <w:sz w:val="22"/>
                <w:szCs w:val="22"/>
              </w:rPr>
              <w:t>1. Osnovni podatki o katalogu</w:t>
            </w:r>
          </w:p>
        </w:tc>
      </w:tr>
      <w:tr w:rsidR="0095440B">
        <w:tc>
          <w:tcPr>
            <w:tcW w:w="2943" w:type="dxa"/>
          </w:tcPr>
          <w:p w:rsidR="0095440B" w:rsidRDefault="0095440B" w:rsidP="00C66D1B">
            <w:pPr>
              <w:tabs>
                <w:tab w:val="left" w:pos="3261"/>
              </w:tabs>
              <w:jc w:val="left"/>
            </w:pPr>
            <w:r>
              <w:t xml:space="preserve">Naziv </w:t>
            </w:r>
            <w:r w:rsidR="00C66D1B">
              <w:t>podjetja</w:t>
            </w:r>
            <w:r>
              <w:t>:</w:t>
            </w:r>
          </w:p>
        </w:tc>
        <w:tc>
          <w:tcPr>
            <w:tcW w:w="6268" w:type="dxa"/>
          </w:tcPr>
          <w:p w:rsidR="0095440B" w:rsidRDefault="00EE1EE0">
            <w:pPr>
              <w:tabs>
                <w:tab w:val="left" w:pos="3261"/>
              </w:tabs>
            </w:pPr>
            <w:r>
              <w:t>Javno podjetje Komunala Izola, d.o.o.</w:t>
            </w:r>
          </w:p>
          <w:p w:rsidR="00EE1EE0" w:rsidRDefault="00EE1EE0">
            <w:pPr>
              <w:tabs>
                <w:tab w:val="left" w:pos="3261"/>
              </w:tabs>
            </w:pPr>
            <w:r>
              <w:t>Industrijska cesta 8, 6310 Izola</w:t>
            </w:r>
          </w:p>
          <w:p w:rsidR="00EE1EE0" w:rsidRDefault="00EE1EE0">
            <w:pPr>
              <w:tabs>
                <w:tab w:val="left" w:pos="3261"/>
              </w:tabs>
            </w:pPr>
            <w:r>
              <w:t xml:space="preserve">Matična številka: </w:t>
            </w:r>
            <w:r w:rsidRPr="00EE1EE0">
              <w:t>5156858000</w:t>
            </w:r>
          </w:p>
          <w:p w:rsidR="00EE1EE0" w:rsidRDefault="00EE1EE0">
            <w:pPr>
              <w:tabs>
                <w:tab w:val="left" w:pos="3261"/>
              </w:tabs>
            </w:pPr>
            <w:r>
              <w:t xml:space="preserve">Davčna številka: </w:t>
            </w:r>
            <w:r w:rsidRPr="00EE1EE0">
              <w:t>SI70981515</w:t>
            </w:r>
          </w:p>
          <w:p w:rsidR="00EE1EE0" w:rsidRDefault="00EE1EE0">
            <w:pPr>
              <w:tabs>
                <w:tab w:val="left" w:pos="3261"/>
              </w:tabs>
            </w:pPr>
            <w:r>
              <w:t>Tel.: 05 66 34 950</w:t>
            </w:r>
          </w:p>
          <w:p w:rsidR="00EE1EE0" w:rsidRDefault="00EE1EE0">
            <w:pPr>
              <w:tabs>
                <w:tab w:val="left" w:pos="3261"/>
              </w:tabs>
            </w:pPr>
            <w:proofErr w:type="spellStart"/>
            <w:r>
              <w:t>Fax</w:t>
            </w:r>
            <w:proofErr w:type="spellEnd"/>
            <w:r>
              <w:t>: 05 66 34 949</w:t>
            </w:r>
          </w:p>
          <w:p w:rsidR="00EE1EE0" w:rsidRDefault="00EE1EE0">
            <w:pPr>
              <w:tabs>
                <w:tab w:val="left" w:pos="3261"/>
              </w:tabs>
            </w:pPr>
            <w:r>
              <w:t>e-pošta: tajnistvo@komunala-izola.si</w:t>
            </w:r>
          </w:p>
        </w:tc>
      </w:tr>
      <w:tr w:rsidR="0095440B">
        <w:tc>
          <w:tcPr>
            <w:tcW w:w="2943" w:type="dxa"/>
          </w:tcPr>
          <w:p w:rsidR="0095440B" w:rsidRDefault="0095440B">
            <w:pPr>
              <w:tabs>
                <w:tab w:val="left" w:pos="3261"/>
              </w:tabs>
              <w:jc w:val="left"/>
            </w:pPr>
            <w:r>
              <w:t>Odgovorna uradna oseba:</w:t>
            </w:r>
          </w:p>
        </w:tc>
        <w:tc>
          <w:tcPr>
            <w:tcW w:w="6268" w:type="dxa"/>
          </w:tcPr>
          <w:p w:rsidR="0095440B" w:rsidRDefault="00332D1E" w:rsidP="00332D1E">
            <w:pPr>
              <w:pStyle w:val="Glava"/>
              <w:tabs>
                <w:tab w:val="clear" w:pos="4320"/>
                <w:tab w:val="clear" w:pos="8640"/>
                <w:tab w:val="left" w:pos="3261"/>
              </w:tabs>
            </w:pPr>
            <w:r>
              <w:t>Denis Bele, direktor</w:t>
            </w:r>
          </w:p>
          <w:p w:rsidR="00B62E99" w:rsidRDefault="00B62E99" w:rsidP="00332D1E">
            <w:pPr>
              <w:pStyle w:val="Glava"/>
              <w:tabs>
                <w:tab w:val="clear" w:pos="4320"/>
                <w:tab w:val="clear" w:pos="8640"/>
                <w:tab w:val="left" w:pos="3261"/>
              </w:tabs>
            </w:pPr>
          </w:p>
          <w:p w:rsidR="00B62E99" w:rsidRDefault="00B62E99" w:rsidP="00332D1E">
            <w:pPr>
              <w:pStyle w:val="Glava"/>
              <w:tabs>
                <w:tab w:val="clear" w:pos="4320"/>
                <w:tab w:val="clear" w:pos="8640"/>
                <w:tab w:val="left" w:pos="3261"/>
              </w:tabs>
            </w:pPr>
          </w:p>
        </w:tc>
      </w:tr>
      <w:tr w:rsidR="0095440B" w:rsidTr="008A0874">
        <w:tc>
          <w:tcPr>
            <w:tcW w:w="2943" w:type="dxa"/>
          </w:tcPr>
          <w:p w:rsidR="0095440B" w:rsidRDefault="0095440B">
            <w:pPr>
              <w:tabs>
                <w:tab w:val="left" w:pos="3261"/>
              </w:tabs>
              <w:jc w:val="left"/>
            </w:pPr>
            <w:r>
              <w:t>Datum prve objave kataloga:</w:t>
            </w:r>
          </w:p>
        </w:tc>
        <w:tc>
          <w:tcPr>
            <w:tcW w:w="6268" w:type="dxa"/>
            <w:shd w:val="clear" w:color="auto" w:fill="auto"/>
          </w:tcPr>
          <w:p w:rsidR="00077C93" w:rsidRDefault="00077C93" w:rsidP="00077C93">
            <w:pPr>
              <w:tabs>
                <w:tab w:val="left" w:pos="3261"/>
              </w:tabs>
            </w:pPr>
            <w:r>
              <w:t>21. 12. 2017</w:t>
            </w:r>
          </w:p>
        </w:tc>
      </w:tr>
      <w:tr w:rsidR="0095440B" w:rsidTr="008A0874">
        <w:tc>
          <w:tcPr>
            <w:tcW w:w="2943" w:type="dxa"/>
          </w:tcPr>
          <w:p w:rsidR="0095440B" w:rsidRDefault="0095440B">
            <w:pPr>
              <w:tabs>
                <w:tab w:val="left" w:pos="3261"/>
              </w:tabs>
              <w:jc w:val="left"/>
            </w:pPr>
            <w:r>
              <w:t>Datum zadnje spremembe:</w:t>
            </w:r>
          </w:p>
        </w:tc>
        <w:tc>
          <w:tcPr>
            <w:tcW w:w="6268" w:type="dxa"/>
            <w:shd w:val="clear" w:color="auto" w:fill="auto"/>
          </w:tcPr>
          <w:p w:rsidR="0095440B" w:rsidRDefault="000F7087" w:rsidP="000F7087">
            <w:pPr>
              <w:tabs>
                <w:tab w:val="left" w:pos="3261"/>
              </w:tabs>
            </w:pPr>
            <w:r>
              <w:t>29. 5</w:t>
            </w:r>
            <w:r w:rsidR="008F5AEA">
              <w:t>. 20</w:t>
            </w:r>
            <w:r>
              <w:t>20</w:t>
            </w:r>
          </w:p>
        </w:tc>
      </w:tr>
      <w:tr w:rsidR="0095440B" w:rsidTr="00EE1EE0">
        <w:tc>
          <w:tcPr>
            <w:tcW w:w="2943" w:type="dxa"/>
            <w:vAlign w:val="center"/>
          </w:tcPr>
          <w:p w:rsidR="0095440B" w:rsidRDefault="0095440B" w:rsidP="00EE1EE0">
            <w:pPr>
              <w:tabs>
                <w:tab w:val="left" w:pos="3261"/>
              </w:tabs>
              <w:jc w:val="left"/>
            </w:pPr>
            <w:r>
              <w:t>Katalog je dostopen na spletnem naslovu:</w:t>
            </w:r>
          </w:p>
        </w:tc>
        <w:tc>
          <w:tcPr>
            <w:tcW w:w="6268" w:type="dxa"/>
            <w:vAlign w:val="center"/>
          </w:tcPr>
          <w:p w:rsidR="00EE1EE0" w:rsidRDefault="00EE1EE0" w:rsidP="00EE1EE0">
            <w:pPr>
              <w:tabs>
                <w:tab w:val="left" w:pos="3261"/>
              </w:tabs>
              <w:jc w:val="left"/>
            </w:pPr>
          </w:p>
          <w:p w:rsidR="0095440B" w:rsidRDefault="00C44204" w:rsidP="00EE1EE0">
            <w:pPr>
              <w:tabs>
                <w:tab w:val="left" w:pos="3261"/>
              </w:tabs>
              <w:jc w:val="left"/>
            </w:pPr>
            <w:hyperlink r:id="rId6" w:history="1">
              <w:r w:rsidR="00EE1EE0" w:rsidRPr="006659E6">
                <w:rPr>
                  <w:rStyle w:val="Hiperpovezava"/>
                </w:rPr>
                <w:t>http://www.komunala-izola.si/</w:t>
              </w:r>
            </w:hyperlink>
          </w:p>
          <w:p w:rsidR="00EE1EE0" w:rsidRDefault="00EE1EE0" w:rsidP="00EE1EE0">
            <w:pPr>
              <w:tabs>
                <w:tab w:val="left" w:pos="3261"/>
              </w:tabs>
              <w:jc w:val="left"/>
            </w:pPr>
          </w:p>
        </w:tc>
      </w:tr>
      <w:tr w:rsidR="0095440B">
        <w:tc>
          <w:tcPr>
            <w:tcW w:w="2943" w:type="dxa"/>
          </w:tcPr>
          <w:p w:rsidR="0095440B" w:rsidRDefault="0095440B">
            <w:pPr>
              <w:tabs>
                <w:tab w:val="left" w:pos="3261"/>
              </w:tabs>
              <w:jc w:val="left"/>
            </w:pPr>
            <w:r>
              <w:t>Druge oblike kataloga</w:t>
            </w:r>
            <w:r w:rsidR="002A0135">
              <w:t>:</w:t>
            </w:r>
          </w:p>
        </w:tc>
        <w:tc>
          <w:tcPr>
            <w:tcW w:w="6268" w:type="dxa"/>
          </w:tcPr>
          <w:p w:rsidR="0095440B" w:rsidRDefault="0095440B" w:rsidP="00EE1EE0">
            <w:pPr>
              <w:tabs>
                <w:tab w:val="left" w:pos="3261"/>
              </w:tabs>
            </w:pPr>
            <w:r>
              <w:t>tiskana oblika</w:t>
            </w:r>
          </w:p>
        </w:tc>
      </w:tr>
    </w:tbl>
    <w:p w:rsidR="0095440B" w:rsidRDefault="0095440B">
      <w:pPr>
        <w:tabs>
          <w:tab w:val="left" w:pos="3261"/>
        </w:tabs>
      </w:pPr>
    </w:p>
    <w:p w:rsidR="0095440B" w:rsidRDefault="0095440B">
      <w:pPr>
        <w:tabs>
          <w:tab w:val="left" w:pos="3261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4"/>
        <w:gridCol w:w="6158"/>
      </w:tblGrid>
      <w:tr w:rsidR="0095440B" w:rsidTr="00A2116A">
        <w:tc>
          <w:tcPr>
            <w:tcW w:w="906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95440B" w:rsidRPr="009E3712" w:rsidRDefault="0095440B" w:rsidP="009E3712">
            <w:pPr>
              <w:tabs>
                <w:tab w:val="left" w:pos="3261"/>
              </w:tabs>
              <w:jc w:val="left"/>
              <w:rPr>
                <w:b/>
                <w:smallCaps/>
                <w:sz w:val="22"/>
                <w:szCs w:val="22"/>
              </w:rPr>
            </w:pPr>
            <w:r w:rsidRPr="009E3712">
              <w:rPr>
                <w:b/>
                <w:smallCaps/>
                <w:sz w:val="22"/>
                <w:szCs w:val="22"/>
              </w:rPr>
              <w:t>2. Splošni podatki o organu in informacijah javnega značaja</w:t>
            </w:r>
            <w:r w:rsidR="0041351E" w:rsidRPr="009E3712">
              <w:rPr>
                <w:b/>
                <w:smallCaps/>
                <w:sz w:val="22"/>
                <w:szCs w:val="22"/>
              </w:rPr>
              <w:t>,</w:t>
            </w:r>
            <w:r w:rsidRPr="009E3712">
              <w:rPr>
                <w:b/>
                <w:smallCaps/>
                <w:sz w:val="22"/>
                <w:szCs w:val="22"/>
              </w:rPr>
              <w:t xml:space="preserve"> s katerimi </w:t>
            </w:r>
            <w:r w:rsidR="009E3712">
              <w:rPr>
                <w:b/>
                <w:smallCaps/>
                <w:sz w:val="22"/>
                <w:szCs w:val="22"/>
              </w:rPr>
              <w:t xml:space="preserve">le-ta </w:t>
            </w:r>
            <w:r w:rsidRPr="009E3712">
              <w:rPr>
                <w:b/>
                <w:smallCaps/>
                <w:sz w:val="22"/>
                <w:szCs w:val="22"/>
              </w:rPr>
              <w:t>razpolaga</w:t>
            </w:r>
          </w:p>
        </w:tc>
      </w:tr>
      <w:tr w:rsidR="0095440B" w:rsidTr="00A2116A">
        <w:tc>
          <w:tcPr>
            <w:tcW w:w="906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</w:tcPr>
          <w:p w:rsidR="0095440B" w:rsidRDefault="0095440B">
            <w:pPr>
              <w:tabs>
                <w:tab w:val="left" w:pos="3261"/>
              </w:tabs>
              <w:jc w:val="left"/>
              <w:rPr>
                <w:b/>
              </w:rPr>
            </w:pPr>
            <w:r>
              <w:rPr>
                <w:b/>
              </w:rPr>
              <w:t>2.a Organigram</w:t>
            </w:r>
            <w:r w:rsidR="00C66D1B">
              <w:rPr>
                <w:b/>
              </w:rPr>
              <w:t xml:space="preserve"> in podatki o organizaciji podjetja</w:t>
            </w:r>
          </w:p>
        </w:tc>
      </w:tr>
      <w:tr w:rsidR="0095440B" w:rsidTr="008579D6">
        <w:tc>
          <w:tcPr>
            <w:tcW w:w="2907" w:type="dxa"/>
            <w:vAlign w:val="center"/>
          </w:tcPr>
          <w:p w:rsidR="0095440B" w:rsidRDefault="0095440B">
            <w:pPr>
              <w:tabs>
                <w:tab w:val="left" w:pos="3261"/>
              </w:tabs>
              <w:jc w:val="left"/>
            </w:pPr>
            <w:r>
              <w:t>Krat</w:t>
            </w:r>
            <w:r w:rsidR="00C66D1B">
              <w:t>ek opis delovnega področja podjetja</w:t>
            </w:r>
          </w:p>
        </w:tc>
        <w:tc>
          <w:tcPr>
            <w:tcW w:w="6160" w:type="dxa"/>
          </w:tcPr>
          <w:p w:rsidR="0077189D" w:rsidRPr="00C66D1B" w:rsidRDefault="0077189D" w:rsidP="0077189D">
            <w:pPr>
              <w:tabs>
                <w:tab w:val="left" w:pos="3261"/>
              </w:tabs>
            </w:pPr>
            <w:r w:rsidRPr="00862476">
              <w:rPr>
                <w:rFonts w:cs="Tahoma"/>
              </w:rPr>
              <w:t>Dejavnosti, ki jih podjetje opravlja na podlagi Odloka o gospodarskih javnih službah</w:t>
            </w:r>
            <w:r w:rsidR="00425B3A">
              <w:rPr>
                <w:rFonts w:cs="Tahoma"/>
              </w:rPr>
              <w:t xml:space="preserve"> v občini Izola,</w:t>
            </w:r>
            <w:r w:rsidRPr="00C66D1B">
              <w:t xml:space="preserve"> so zlasti naslednje: </w:t>
            </w:r>
          </w:p>
          <w:p w:rsidR="0077189D" w:rsidRPr="00C66D1B" w:rsidRDefault="0077189D" w:rsidP="0077189D">
            <w:pPr>
              <w:tabs>
                <w:tab w:val="left" w:pos="3261"/>
              </w:tabs>
              <w:rPr>
                <w:b/>
              </w:rPr>
            </w:pPr>
            <w:r w:rsidRPr="00C66D1B">
              <w:rPr>
                <w:b/>
              </w:rPr>
              <w:t xml:space="preserve">Obvezne občinske gospodarske javne službe: </w:t>
            </w:r>
          </w:p>
          <w:p w:rsidR="0077189D" w:rsidRPr="00C66D1B" w:rsidRDefault="0077189D" w:rsidP="0077189D">
            <w:pPr>
              <w:tabs>
                <w:tab w:val="left" w:pos="3261"/>
              </w:tabs>
            </w:pPr>
            <w:r w:rsidRPr="00C66D1B">
              <w:t xml:space="preserve">- odvajanje in čiščenje komunalne in padavinske odpadne vode, </w:t>
            </w:r>
          </w:p>
          <w:p w:rsidR="0077189D" w:rsidRPr="00C66D1B" w:rsidRDefault="0077189D" w:rsidP="0077189D">
            <w:pPr>
              <w:tabs>
                <w:tab w:val="left" w:pos="3261"/>
              </w:tabs>
            </w:pPr>
            <w:r w:rsidRPr="00C66D1B">
              <w:t>- zbiranje določenih vrst komunalnih odpadkov,</w:t>
            </w:r>
          </w:p>
          <w:p w:rsidR="0077189D" w:rsidRPr="00C66D1B" w:rsidRDefault="0077189D" w:rsidP="0077189D">
            <w:pPr>
              <w:tabs>
                <w:tab w:val="left" w:pos="3261"/>
              </w:tabs>
            </w:pPr>
            <w:r w:rsidRPr="00C66D1B">
              <w:t xml:space="preserve">- obdelava določenih vrst komunalnih odpadkov, </w:t>
            </w:r>
          </w:p>
          <w:p w:rsidR="0077189D" w:rsidRPr="00C66D1B" w:rsidRDefault="0077189D" w:rsidP="0077189D">
            <w:pPr>
              <w:tabs>
                <w:tab w:val="left" w:pos="3261"/>
              </w:tabs>
            </w:pPr>
            <w:r w:rsidRPr="00C66D1B">
              <w:t xml:space="preserve">- odlaganje ostankov predelave ali odstranjevanja komunalnih odpadkov, </w:t>
            </w:r>
          </w:p>
          <w:p w:rsidR="0077189D" w:rsidRPr="00C66D1B" w:rsidRDefault="0077189D" w:rsidP="0077189D">
            <w:pPr>
              <w:tabs>
                <w:tab w:val="left" w:pos="3261"/>
              </w:tabs>
            </w:pPr>
            <w:r w:rsidRPr="00C66D1B">
              <w:t xml:space="preserve">- urejanje in čiščenje javnih površin, </w:t>
            </w:r>
          </w:p>
          <w:p w:rsidR="0077189D" w:rsidRPr="00C66D1B" w:rsidRDefault="0077189D" w:rsidP="0077189D">
            <w:pPr>
              <w:tabs>
                <w:tab w:val="left" w:pos="3261"/>
              </w:tabs>
            </w:pPr>
            <w:r w:rsidRPr="00C66D1B">
              <w:t>- vzdrževanje (občinskih) javnih cest, (ZCest-1)</w:t>
            </w:r>
            <w:r w:rsidR="00DF568C">
              <w:t>,</w:t>
            </w:r>
          </w:p>
          <w:p w:rsidR="0077189D" w:rsidRPr="00C66D1B" w:rsidRDefault="0077189D" w:rsidP="0077189D">
            <w:pPr>
              <w:tabs>
                <w:tab w:val="left" w:pos="3261"/>
              </w:tabs>
            </w:pPr>
            <w:r w:rsidRPr="00C66D1B">
              <w:t>- varnost in prevoznost javnih cest, nadzor nad stanjem javnih cest in cestnega sveta ter vzpostavitev prevoznosti cest ob naravnih in drugih nesrečah,</w:t>
            </w:r>
          </w:p>
          <w:p w:rsidR="0077189D" w:rsidRPr="00C66D1B" w:rsidRDefault="0077189D" w:rsidP="0077189D">
            <w:pPr>
              <w:tabs>
                <w:tab w:val="left" w:pos="3261"/>
              </w:tabs>
            </w:pPr>
            <w:r w:rsidRPr="00C66D1B">
              <w:t xml:space="preserve"> - 24 urna dežurna služba pogrebne dejavnosti (</w:t>
            </w:r>
            <w:proofErr w:type="spellStart"/>
            <w:r w:rsidRPr="00C66D1B">
              <w:t>ZPPDej</w:t>
            </w:r>
            <w:proofErr w:type="spellEnd"/>
            <w:r w:rsidRPr="00C66D1B">
              <w:t xml:space="preserve">). </w:t>
            </w:r>
          </w:p>
          <w:p w:rsidR="0077189D" w:rsidRPr="00C66D1B" w:rsidRDefault="0077189D" w:rsidP="0077189D">
            <w:pPr>
              <w:tabs>
                <w:tab w:val="left" w:pos="3261"/>
              </w:tabs>
              <w:rPr>
                <w:b/>
              </w:rPr>
            </w:pPr>
            <w:r w:rsidRPr="00C66D1B">
              <w:rPr>
                <w:b/>
              </w:rPr>
              <w:t xml:space="preserve">Izbirne lokalne gospodarske javne službe: </w:t>
            </w:r>
          </w:p>
          <w:p w:rsidR="0077189D" w:rsidRPr="00C66D1B" w:rsidRDefault="0077189D" w:rsidP="0077189D">
            <w:pPr>
              <w:tabs>
                <w:tab w:val="left" w:pos="3261"/>
              </w:tabs>
            </w:pPr>
            <w:r w:rsidRPr="00C66D1B">
              <w:t xml:space="preserve">- upravljanje pristanišča (komunalni privezi in drugi privezi), </w:t>
            </w:r>
          </w:p>
          <w:p w:rsidR="0077189D" w:rsidRPr="00C66D1B" w:rsidRDefault="0077189D" w:rsidP="0077189D">
            <w:pPr>
              <w:tabs>
                <w:tab w:val="left" w:pos="3261"/>
              </w:tabs>
            </w:pPr>
            <w:r w:rsidRPr="00C66D1B">
              <w:t>- urejanje javnih parkirišč in garažnih hiš,</w:t>
            </w:r>
          </w:p>
          <w:p w:rsidR="0077189D" w:rsidRPr="00C66D1B" w:rsidRDefault="0077189D" w:rsidP="0077189D">
            <w:pPr>
              <w:tabs>
                <w:tab w:val="left" w:pos="3261"/>
              </w:tabs>
            </w:pPr>
            <w:r w:rsidRPr="00C66D1B">
              <w:t xml:space="preserve"> - urejanje pokopališč in oddajanje prostorov za grobove v najem,</w:t>
            </w:r>
          </w:p>
          <w:p w:rsidR="0077189D" w:rsidRPr="00C66D1B" w:rsidRDefault="0077189D" w:rsidP="0077189D">
            <w:pPr>
              <w:tabs>
                <w:tab w:val="left" w:pos="3261"/>
              </w:tabs>
            </w:pPr>
            <w:r w:rsidRPr="00C66D1B">
              <w:t xml:space="preserve"> - prisilni odvoz vozil in zapuščenih vozil na območju občine, </w:t>
            </w:r>
          </w:p>
          <w:p w:rsidR="0077189D" w:rsidRPr="00C66D1B" w:rsidRDefault="0077189D" w:rsidP="0077189D">
            <w:pPr>
              <w:tabs>
                <w:tab w:val="left" w:pos="3261"/>
              </w:tabs>
            </w:pPr>
            <w:r w:rsidRPr="00C66D1B">
              <w:t xml:space="preserve">- urejanje in vzdrževanje javnih kopališč ter </w:t>
            </w:r>
            <w:r w:rsidR="00DF568C">
              <w:t xml:space="preserve">pripadajočega </w:t>
            </w:r>
            <w:r w:rsidRPr="00C66D1B">
              <w:t xml:space="preserve">obalnega morskega pasu in obalnega morja, </w:t>
            </w:r>
          </w:p>
          <w:p w:rsidR="00FE1B2F" w:rsidRDefault="0077189D" w:rsidP="0077189D">
            <w:pPr>
              <w:tabs>
                <w:tab w:val="left" w:pos="3261"/>
              </w:tabs>
            </w:pPr>
            <w:r w:rsidRPr="00C66D1B">
              <w:t xml:space="preserve">- urejanje in vzdrževanje javnih sanitarij, </w:t>
            </w:r>
          </w:p>
          <w:p w:rsidR="0077189D" w:rsidRPr="00C66D1B" w:rsidRDefault="0077189D" w:rsidP="0077189D">
            <w:pPr>
              <w:tabs>
                <w:tab w:val="left" w:pos="3261"/>
              </w:tabs>
            </w:pPr>
            <w:r w:rsidRPr="00C66D1B">
              <w:t xml:space="preserve">- urejanje in vzdrževanje tržnic v mestu in naseljih, </w:t>
            </w:r>
          </w:p>
          <w:p w:rsidR="0077189D" w:rsidRPr="00C66D1B" w:rsidRDefault="0077189D" w:rsidP="0077189D">
            <w:pPr>
              <w:tabs>
                <w:tab w:val="left" w:pos="3261"/>
              </w:tabs>
            </w:pPr>
            <w:r w:rsidRPr="00C66D1B">
              <w:t xml:space="preserve">- krasitev mest, naselij (izobešanje zastav), plakatiranje, </w:t>
            </w:r>
          </w:p>
          <w:p w:rsidR="0077189D" w:rsidRPr="00C66D1B" w:rsidRDefault="0077189D" w:rsidP="0077189D">
            <w:pPr>
              <w:tabs>
                <w:tab w:val="left" w:pos="3261"/>
              </w:tabs>
            </w:pPr>
            <w:r w:rsidRPr="00C66D1B">
              <w:t xml:space="preserve">- urejanje in vzdrževanje otroških igrišč, </w:t>
            </w:r>
          </w:p>
          <w:p w:rsidR="0077189D" w:rsidRPr="00C66D1B" w:rsidRDefault="0077189D" w:rsidP="0077189D">
            <w:pPr>
              <w:tabs>
                <w:tab w:val="left" w:pos="3261"/>
              </w:tabs>
            </w:pPr>
            <w:r w:rsidRPr="00C66D1B">
              <w:t>- urejanje javnih poti, površin za pešce in zelenih površin, pe</w:t>
            </w:r>
            <w:r w:rsidR="00203088" w:rsidRPr="00C66D1B">
              <w:t>špoti in drugih javnih površin,</w:t>
            </w:r>
          </w:p>
          <w:p w:rsidR="0095440B" w:rsidRPr="00C66D1B" w:rsidRDefault="00203088" w:rsidP="00303C89">
            <w:pPr>
              <w:tabs>
                <w:tab w:val="left" w:pos="3261"/>
              </w:tabs>
            </w:pPr>
            <w:r w:rsidRPr="00C66D1B">
              <w:t xml:space="preserve">- upravljanje </w:t>
            </w:r>
            <w:r w:rsidR="00303C89">
              <w:t xml:space="preserve">s </w:t>
            </w:r>
            <w:r w:rsidRPr="00C66D1B">
              <w:t>stanovanj</w:t>
            </w:r>
            <w:r w:rsidR="00303C89">
              <w:t>i</w:t>
            </w:r>
            <w:r w:rsidRPr="00C66D1B">
              <w:t xml:space="preserve"> in poslov</w:t>
            </w:r>
            <w:r w:rsidR="008A0874">
              <w:t>ni</w:t>
            </w:r>
            <w:r w:rsidR="00303C89">
              <w:t>mi</w:t>
            </w:r>
            <w:r w:rsidR="008A0874">
              <w:t xml:space="preserve"> prostor</w:t>
            </w:r>
            <w:r w:rsidR="00303C89">
              <w:t>i v lasti O</w:t>
            </w:r>
            <w:r w:rsidR="00C66D1B" w:rsidRPr="00C66D1B">
              <w:t>bčine</w:t>
            </w:r>
            <w:r w:rsidR="008A0874">
              <w:t xml:space="preserve"> Izola</w:t>
            </w:r>
            <w:r w:rsidR="00C66D1B" w:rsidRPr="00C66D1B">
              <w:t>.</w:t>
            </w:r>
          </w:p>
        </w:tc>
      </w:tr>
      <w:tr w:rsidR="0095440B" w:rsidTr="00332D1E">
        <w:tc>
          <w:tcPr>
            <w:tcW w:w="2907" w:type="dxa"/>
          </w:tcPr>
          <w:p w:rsidR="0095440B" w:rsidRDefault="0095440B">
            <w:pPr>
              <w:tabs>
                <w:tab w:val="left" w:pos="3261"/>
              </w:tabs>
              <w:jc w:val="left"/>
            </w:pPr>
            <w:r>
              <w:t>Seznam vseh notranjih organizacijskih enot</w:t>
            </w:r>
          </w:p>
        </w:tc>
        <w:tc>
          <w:tcPr>
            <w:tcW w:w="6160" w:type="dxa"/>
          </w:tcPr>
          <w:p w:rsidR="009C1ABE" w:rsidRDefault="00F61D48" w:rsidP="007F3F96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 w:hanging="318"/>
            </w:pPr>
            <w:r>
              <w:t>Sektor O</w:t>
            </w:r>
            <w:r w:rsidR="00866F59">
              <w:t>perativa:</w:t>
            </w:r>
          </w:p>
          <w:p w:rsidR="0095440B" w:rsidRDefault="009C1ABE" w:rsidP="00866F59">
            <w:pPr>
              <w:numPr>
                <w:ilvl w:val="0"/>
                <w:numId w:val="7"/>
              </w:numPr>
              <w:tabs>
                <w:tab w:val="left" w:pos="3261"/>
              </w:tabs>
            </w:pPr>
            <w:r>
              <w:t>d</w:t>
            </w:r>
            <w:r w:rsidR="00866F59">
              <w:t>elovna enota Kanalizacija;</w:t>
            </w:r>
          </w:p>
          <w:p w:rsidR="00866F59" w:rsidRDefault="009C1ABE" w:rsidP="00866F59">
            <w:pPr>
              <w:numPr>
                <w:ilvl w:val="0"/>
                <w:numId w:val="7"/>
              </w:numPr>
              <w:tabs>
                <w:tab w:val="left" w:pos="3261"/>
              </w:tabs>
            </w:pPr>
            <w:r>
              <w:t>d</w:t>
            </w:r>
            <w:r w:rsidR="00866F59">
              <w:t>elovna enota Vzdrževanje okolja;</w:t>
            </w:r>
          </w:p>
          <w:p w:rsidR="00866F59" w:rsidRPr="000F7087" w:rsidRDefault="009C1ABE" w:rsidP="00866F59">
            <w:pPr>
              <w:numPr>
                <w:ilvl w:val="0"/>
                <w:numId w:val="7"/>
              </w:numPr>
              <w:tabs>
                <w:tab w:val="left" w:pos="3261"/>
              </w:tabs>
            </w:pPr>
            <w:r>
              <w:t>d</w:t>
            </w:r>
            <w:r w:rsidR="00866F59">
              <w:t xml:space="preserve">elovna enota </w:t>
            </w:r>
            <w:r w:rsidR="00866F59" w:rsidRPr="000F7087">
              <w:t>P</w:t>
            </w:r>
            <w:r w:rsidR="00AE696A" w:rsidRPr="000F7087">
              <w:t>okopališka in p</w:t>
            </w:r>
            <w:r w:rsidR="00866F59" w:rsidRPr="000F7087">
              <w:t>ogrebna dejavnost;</w:t>
            </w:r>
          </w:p>
          <w:p w:rsidR="00866F59" w:rsidRDefault="009C1ABE" w:rsidP="00866F59">
            <w:pPr>
              <w:numPr>
                <w:ilvl w:val="0"/>
                <w:numId w:val="7"/>
              </w:numPr>
              <w:tabs>
                <w:tab w:val="left" w:pos="3261"/>
              </w:tabs>
            </w:pPr>
            <w:r>
              <w:lastRenderedPageBreak/>
              <w:t>d</w:t>
            </w:r>
            <w:r w:rsidR="00866F59">
              <w:t xml:space="preserve">elovna enota Pristaniška in </w:t>
            </w:r>
            <w:proofErr w:type="spellStart"/>
            <w:r w:rsidR="00866F59">
              <w:t>parkiriščna</w:t>
            </w:r>
            <w:proofErr w:type="spellEnd"/>
            <w:r w:rsidR="00866F59">
              <w:t xml:space="preserve"> dejavnost;</w:t>
            </w:r>
          </w:p>
          <w:p w:rsidR="00866F59" w:rsidRDefault="009C1ABE" w:rsidP="00866F59">
            <w:pPr>
              <w:numPr>
                <w:ilvl w:val="0"/>
                <w:numId w:val="7"/>
              </w:numPr>
              <w:tabs>
                <w:tab w:val="left" w:pos="3261"/>
              </w:tabs>
            </w:pPr>
            <w:r>
              <w:t>d</w:t>
            </w:r>
            <w:r w:rsidR="00866F59">
              <w:t>elovna enota Mehanizacija;</w:t>
            </w:r>
          </w:p>
          <w:p w:rsidR="00866F59" w:rsidRDefault="009C1ABE" w:rsidP="00866F59">
            <w:pPr>
              <w:numPr>
                <w:ilvl w:val="0"/>
                <w:numId w:val="7"/>
              </w:numPr>
              <w:tabs>
                <w:tab w:val="left" w:pos="3261"/>
              </w:tabs>
            </w:pPr>
            <w:r>
              <w:t>d</w:t>
            </w:r>
            <w:r w:rsidR="00866F59">
              <w:t>elovna enota Gradnje;</w:t>
            </w:r>
          </w:p>
          <w:p w:rsidR="00866F59" w:rsidRDefault="009C1ABE" w:rsidP="00866F59">
            <w:pPr>
              <w:numPr>
                <w:ilvl w:val="0"/>
                <w:numId w:val="7"/>
              </w:numPr>
              <w:tabs>
                <w:tab w:val="left" w:pos="3261"/>
              </w:tabs>
            </w:pPr>
            <w:r>
              <w:t>d</w:t>
            </w:r>
            <w:r w:rsidR="00866F59">
              <w:t>elovna enota Ekologija in ravnanje z odpadki.</w:t>
            </w:r>
          </w:p>
          <w:p w:rsidR="009C1ABE" w:rsidRDefault="009C1ABE" w:rsidP="009C1ABE">
            <w:pPr>
              <w:tabs>
                <w:tab w:val="left" w:pos="3261"/>
              </w:tabs>
              <w:ind w:left="284"/>
            </w:pPr>
          </w:p>
          <w:p w:rsidR="00866F59" w:rsidRDefault="00866F59" w:rsidP="00866F59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 w:hanging="318"/>
            </w:pPr>
            <w:r>
              <w:t>Sektor za upravljanje z nepremičninami</w:t>
            </w:r>
          </w:p>
          <w:p w:rsidR="009C1ABE" w:rsidRDefault="009C1ABE" w:rsidP="009C1ABE">
            <w:pPr>
              <w:tabs>
                <w:tab w:val="left" w:pos="3261"/>
              </w:tabs>
              <w:ind w:left="318"/>
            </w:pPr>
          </w:p>
          <w:p w:rsidR="009C1ABE" w:rsidRDefault="009C1ABE" w:rsidP="009C1ABE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 w:hanging="318"/>
            </w:pPr>
            <w:r>
              <w:t xml:space="preserve">Služba za </w:t>
            </w:r>
            <w:proofErr w:type="spellStart"/>
            <w:r>
              <w:t>kontroling</w:t>
            </w:r>
            <w:proofErr w:type="spellEnd"/>
            <w:r>
              <w:t xml:space="preserve"> in IT</w:t>
            </w:r>
          </w:p>
          <w:p w:rsidR="009C1ABE" w:rsidRDefault="009C1ABE" w:rsidP="009C1ABE">
            <w:pPr>
              <w:tabs>
                <w:tab w:val="left" w:pos="3261"/>
              </w:tabs>
              <w:ind w:left="318"/>
            </w:pPr>
          </w:p>
          <w:p w:rsidR="00866F59" w:rsidRDefault="00866F59" w:rsidP="00866F59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 w:hanging="318"/>
            </w:pPr>
            <w:r>
              <w:t>Služba za splošne, kadrovske in pravne zadeve</w:t>
            </w:r>
          </w:p>
          <w:p w:rsidR="009C1ABE" w:rsidRDefault="009C1ABE" w:rsidP="009C1ABE">
            <w:pPr>
              <w:tabs>
                <w:tab w:val="left" w:pos="3261"/>
              </w:tabs>
              <w:ind w:left="318"/>
            </w:pPr>
          </w:p>
          <w:p w:rsidR="00866F59" w:rsidRDefault="00866F59" w:rsidP="00866F59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 w:hanging="318"/>
            </w:pPr>
            <w:r>
              <w:t>Finančno računovodska služba</w:t>
            </w:r>
          </w:p>
          <w:p w:rsidR="009C1ABE" w:rsidRDefault="009C1ABE" w:rsidP="009C1ABE">
            <w:pPr>
              <w:tabs>
                <w:tab w:val="left" w:pos="3261"/>
              </w:tabs>
            </w:pPr>
          </w:p>
          <w:p w:rsidR="00866F59" w:rsidRDefault="00866F59" w:rsidP="00866F59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 w:hanging="318"/>
            </w:pPr>
            <w:r>
              <w:t>Služba nabave</w:t>
            </w:r>
          </w:p>
          <w:p w:rsidR="00866F59" w:rsidRDefault="00866F59" w:rsidP="00866F59">
            <w:pPr>
              <w:tabs>
                <w:tab w:val="left" w:pos="3261"/>
              </w:tabs>
            </w:pPr>
          </w:p>
        </w:tc>
      </w:tr>
      <w:tr w:rsidR="0095440B" w:rsidTr="00332D1E">
        <w:tc>
          <w:tcPr>
            <w:tcW w:w="2907" w:type="dxa"/>
          </w:tcPr>
          <w:p w:rsidR="0095440B" w:rsidRDefault="00C66D1B" w:rsidP="004029C7">
            <w:pPr>
              <w:tabs>
                <w:tab w:val="left" w:pos="3261"/>
              </w:tabs>
              <w:jc w:val="left"/>
            </w:pPr>
            <w:r>
              <w:lastRenderedPageBreak/>
              <w:t>Organigram podjetja</w:t>
            </w:r>
          </w:p>
        </w:tc>
        <w:tc>
          <w:tcPr>
            <w:tcW w:w="6160" w:type="dxa"/>
          </w:tcPr>
          <w:p w:rsidR="00EB0CBA" w:rsidRDefault="00EB0CBA"/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1"/>
              <w:gridCol w:w="757"/>
              <w:gridCol w:w="758"/>
              <w:gridCol w:w="236"/>
              <w:gridCol w:w="280"/>
              <w:gridCol w:w="738"/>
              <w:gridCol w:w="768"/>
              <w:gridCol w:w="223"/>
              <w:gridCol w:w="238"/>
              <w:gridCol w:w="788"/>
              <w:gridCol w:w="875"/>
            </w:tblGrid>
            <w:tr w:rsidR="00EB0CBA" w:rsidRPr="00C14E9F" w:rsidTr="00EB0CBA">
              <w:trPr>
                <w:trHeight w:val="521"/>
              </w:trPr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3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67" w:type="pct"/>
                  <w:gridSpan w:val="2"/>
                  <w:shd w:val="clear" w:color="auto" w:fill="ADD95D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 w:rsidRPr="00C14E9F"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t>DIREKTOR</w:t>
                  </w:r>
                </w:p>
              </w:tc>
              <w:tc>
                <w:tcPr>
                  <w:tcW w:w="1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73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</w:tr>
            <w:tr w:rsidR="00EB0CBA" w:rsidRPr="00C14E9F" w:rsidTr="00EB0CBA">
              <w:trPr>
                <w:trHeight w:val="417"/>
              </w:trPr>
              <w:tc>
                <w:tcPr>
                  <w:tcW w:w="23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3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21" w:type="pct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46" w:type="pct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8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73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</w:tr>
            <w:tr w:rsidR="00EB0CBA" w:rsidRPr="00C14E9F" w:rsidTr="00EB0CBA">
              <w:trPr>
                <w:trHeight w:val="104"/>
              </w:trPr>
              <w:tc>
                <w:tcPr>
                  <w:tcW w:w="236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37" w:type="pct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46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737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</w:tr>
            <w:tr w:rsidR="00EB0CBA" w:rsidRPr="00C14E9F" w:rsidTr="00EB0CBA">
              <w:trPr>
                <w:trHeight w:val="253"/>
              </w:trPr>
              <w:tc>
                <w:tcPr>
                  <w:tcW w:w="236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38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46" w:type="pc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737" w:type="pc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</w:tr>
            <w:tr w:rsidR="00EB0CBA" w:rsidRPr="00C14E9F" w:rsidTr="00EB0CBA">
              <w:trPr>
                <w:trHeight w:val="626"/>
              </w:trPr>
              <w:tc>
                <w:tcPr>
                  <w:tcW w:w="236" w:type="pct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4" w:type="pct"/>
                  <w:gridSpan w:val="2"/>
                  <w:shd w:val="clear" w:color="auto" w:fill="auto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EB0CBA" w:rsidRPr="00C14E9F" w:rsidRDefault="00EB0CBA" w:rsidP="00EB0CB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EB0CBA" w:rsidRPr="00C14E9F" w:rsidRDefault="00EB0CBA" w:rsidP="00EB0CBA">
                  <w:pPr>
                    <w:rPr>
                      <w:b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67" w:type="pct"/>
                  <w:gridSpan w:val="2"/>
                  <w:shd w:val="clear" w:color="auto" w:fill="ADD95D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 w:rsidRPr="00C14E9F"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t>SEKTOR OPERATIVA</w:t>
                  </w:r>
                </w:p>
              </w:tc>
              <w:tc>
                <w:tcPr>
                  <w:tcW w:w="1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400" w:type="pct"/>
                  <w:gridSpan w:val="2"/>
                  <w:shd w:val="clear" w:color="auto" w:fill="ADD95D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 w:rsidRPr="00C14E9F"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t xml:space="preserve">SEKTOR ZA </w:t>
                  </w:r>
                  <w:r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t>UPRAVLJANJE Z NEPREMIČNINAMI</w:t>
                  </w:r>
                </w:p>
              </w:tc>
            </w:tr>
            <w:tr w:rsidR="00EB0CBA" w:rsidRPr="00C14E9F" w:rsidTr="00EB0CBA">
              <w:trPr>
                <w:trHeight w:val="238"/>
              </w:trPr>
              <w:tc>
                <w:tcPr>
                  <w:tcW w:w="236" w:type="pc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37" w:type="pct"/>
                  <w:tcBorders>
                    <w:lef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38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46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63" w:type="pct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737" w:type="pct"/>
                  <w:tcBorders>
                    <w:top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</w:tr>
            <w:tr w:rsidR="00EB0CBA" w:rsidRPr="00C14E9F" w:rsidTr="00EB0CBA">
              <w:trPr>
                <w:trHeight w:val="149"/>
              </w:trPr>
              <w:tc>
                <w:tcPr>
                  <w:tcW w:w="236" w:type="pct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37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3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88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73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</w:tr>
            <w:tr w:rsidR="00EB0CBA" w:rsidRPr="00C14E9F" w:rsidTr="00EB0CBA">
              <w:trPr>
                <w:trHeight w:val="238"/>
              </w:trPr>
              <w:tc>
                <w:tcPr>
                  <w:tcW w:w="236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38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88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737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</w:tr>
            <w:tr w:rsidR="00EB0CBA" w:rsidRPr="00C14E9F" w:rsidTr="00EB0CBA">
              <w:trPr>
                <w:trHeight w:val="417"/>
              </w:trPr>
              <w:tc>
                <w:tcPr>
                  <w:tcW w:w="236" w:type="pc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4" w:type="pct"/>
                  <w:gridSpan w:val="2"/>
                  <w:vMerge w:val="restart"/>
                  <w:shd w:val="clear" w:color="auto" w:fill="ADD95D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C14E9F">
                    <w:rPr>
                      <w:b/>
                      <w:color w:val="FFFFFF" w:themeColor="background1"/>
                      <w:sz w:val="16"/>
                      <w:szCs w:val="16"/>
                    </w:rPr>
                    <w:t xml:space="preserve">SLUŽBA </w:t>
                  </w: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>ZA KONTROLING IN IT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67" w:type="pct"/>
                  <w:gridSpan w:val="2"/>
                  <w:vMerge w:val="restart"/>
                  <w:shd w:val="clear" w:color="auto" w:fill="ADD95D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C14E9F">
                    <w:rPr>
                      <w:b/>
                      <w:color w:val="FFFFFF" w:themeColor="background1"/>
                      <w:sz w:val="16"/>
                      <w:szCs w:val="16"/>
                    </w:rPr>
                    <w:t>DELOVNA ENOTA KANALIZACIJA</w:t>
                  </w:r>
                </w:p>
              </w:tc>
              <w:tc>
                <w:tcPr>
                  <w:tcW w:w="188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400" w:type="pct"/>
                  <w:gridSpan w:val="2"/>
                  <w:vMerge w:val="restart"/>
                  <w:shd w:val="clear" w:color="auto" w:fill="auto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</w:tr>
            <w:tr w:rsidR="00EB0CBA" w:rsidRPr="00C14E9F" w:rsidTr="00EB0CBA">
              <w:trPr>
                <w:trHeight w:val="125"/>
              </w:trPr>
              <w:tc>
                <w:tcPr>
                  <w:tcW w:w="236" w:type="pct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4" w:type="pct"/>
                  <w:gridSpan w:val="2"/>
                  <w:vMerge/>
                  <w:shd w:val="clear" w:color="auto" w:fill="ADD95D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67" w:type="pct"/>
                  <w:gridSpan w:val="2"/>
                  <w:vMerge/>
                  <w:shd w:val="clear" w:color="auto" w:fill="ADD95D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88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400" w:type="pct"/>
                  <w:gridSpan w:val="2"/>
                  <w:vMerge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</w:tr>
            <w:tr w:rsidR="00EB0CBA" w:rsidRPr="00C14E9F" w:rsidTr="00EB0CBA">
              <w:trPr>
                <w:trHeight w:val="165"/>
              </w:trPr>
              <w:tc>
                <w:tcPr>
                  <w:tcW w:w="236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37" w:type="pct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38" w:type="pct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21" w:type="pct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46" w:type="pct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88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63" w:type="pct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737" w:type="pct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</w:tr>
            <w:tr w:rsidR="00EB0CBA" w:rsidRPr="00C14E9F" w:rsidTr="00EB0CBA">
              <w:trPr>
                <w:trHeight w:val="402"/>
              </w:trPr>
              <w:tc>
                <w:tcPr>
                  <w:tcW w:w="236" w:type="pc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4" w:type="pct"/>
                  <w:gridSpan w:val="2"/>
                  <w:vMerge w:val="restart"/>
                  <w:shd w:val="clear" w:color="auto" w:fill="ADD95D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>SLUŽBA ZA SPLOŠNE, KADROVSKE IN PRAVNE ZADEVE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67" w:type="pct"/>
                  <w:gridSpan w:val="2"/>
                  <w:vMerge w:val="restart"/>
                  <w:shd w:val="clear" w:color="auto" w:fill="ADD95D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>DELOVNA ENOTA VZDRŽEVANJE</w:t>
                  </w:r>
                  <w:r w:rsidRPr="00C14E9F">
                    <w:rPr>
                      <w:b/>
                      <w:color w:val="FFFFFF" w:themeColor="background1"/>
                      <w:sz w:val="16"/>
                      <w:szCs w:val="16"/>
                    </w:rPr>
                    <w:t xml:space="preserve"> OKOLJA</w:t>
                  </w:r>
                </w:p>
              </w:tc>
              <w:tc>
                <w:tcPr>
                  <w:tcW w:w="188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400" w:type="pct"/>
                  <w:gridSpan w:val="2"/>
                  <w:vMerge w:val="restart"/>
                  <w:shd w:val="clear" w:color="auto" w:fill="auto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</w:tr>
            <w:tr w:rsidR="00EB0CBA" w:rsidRPr="00C14E9F" w:rsidTr="00EB0CBA">
              <w:trPr>
                <w:trHeight w:val="182"/>
              </w:trPr>
              <w:tc>
                <w:tcPr>
                  <w:tcW w:w="236" w:type="pct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4" w:type="pct"/>
                  <w:gridSpan w:val="2"/>
                  <w:vMerge/>
                  <w:shd w:val="clear" w:color="auto" w:fill="ADD95D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67" w:type="pct"/>
                  <w:gridSpan w:val="2"/>
                  <w:vMerge/>
                  <w:shd w:val="clear" w:color="auto" w:fill="ADD95D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00" w:type="pct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400" w:type="pct"/>
                  <w:gridSpan w:val="2"/>
                  <w:vMerge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</w:tr>
            <w:tr w:rsidR="00EB0CBA" w:rsidRPr="00C14E9F" w:rsidTr="00EB0CBA">
              <w:trPr>
                <w:trHeight w:val="78"/>
              </w:trPr>
              <w:tc>
                <w:tcPr>
                  <w:tcW w:w="236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37" w:type="pct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38" w:type="pct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21" w:type="pct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46" w:type="pct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00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63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737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</w:tr>
            <w:tr w:rsidR="00EB0CBA" w:rsidRPr="00C14E9F" w:rsidTr="00EB0CBA">
              <w:trPr>
                <w:trHeight w:val="283"/>
              </w:trPr>
              <w:tc>
                <w:tcPr>
                  <w:tcW w:w="236" w:type="pc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4" w:type="pct"/>
                  <w:gridSpan w:val="2"/>
                  <w:vMerge w:val="restart"/>
                  <w:shd w:val="clear" w:color="auto" w:fill="ADD95D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C14E9F">
                    <w:rPr>
                      <w:b/>
                      <w:color w:val="FFFFFF" w:themeColor="background1"/>
                      <w:sz w:val="16"/>
                      <w:szCs w:val="16"/>
                    </w:rPr>
                    <w:t xml:space="preserve">FINANČNO RAČUNOVODSKA SLUŽBA 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67" w:type="pct"/>
                  <w:gridSpan w:val="2"/>
                  <w:vMerge w:val="restart"/>
                  <w:shd w:val="clear" w:color="auto" w:fill="ADD95D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C14E9F">
                    <w:rPr>
                      <w:b/>
                      <w:color w:val="FFFFFF" w:themeColor="background1"/>
                      <w:sz w:val="16"/>
                      <w:szCs w:val="16"/>
                    </w:rPr>
                    <w:t>DELOVNA ENOTA POKOPALIŠKA IN POGREBNA DEJAVNOST</w:t>
                  </w:r>
                </w:p>
              </w:tc>
              <w:tc>
                <w:tcPr>
                  <w:tcW w:w="1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400" w:type="pct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</w:tr>
            <w:tr w:rsidR="00EB0CBA" w:rsidRPr="00A66A4E" w:rsidTr="00EB0CBA">
              <w:trPr>
                <w:trHeight w:val="298"/>
              </w:trPr>
              <w:tc>
                <w:tcPr>
                  <w:tcW w:w="236" w:type="pct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4" w:type="pct"/>
                  <w:gridSpan w:val="2"/>
                  <w:vMerge/>
                  <w:shd w:val="clear" w:color="auto" w:fill="ADD95D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67" w:type="pct"/>
                  <w:gridSpan w:val="2"/>
                  <w:vMerge/>
                  <w:shd w:val="clear" w:color="auto" w:fill="ADD95D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400" w:type="pct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</w:tr>
            <w:tr w:rsidR="00EB0CBA" w:rsidRPr="00C14E9F" w:rsidTr="00EB0CBA">
              <w:trPr>
                <w:trHeight w:val="132"/>
              </w:trPr>
              <w:tc>
                <w:tcPr>
                  <w:tcW w:w="236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37" w:type="pct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38" w:type="pct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21" w:type="pct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46" w:type="pct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73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</w:tr>
            <w:tr w:rsidR="00EB0CBA" w:rsidRPr="00C14E9F" w:rsidTr="00EB0CBA">
              <w:trPr>
                <w:trHeight w:val="402"/>
              </w:trPr>
              <w:tc>
                <w:tcPr>
                  <w:tcW w:w="236" w:type="pc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4" w:type="pct"/>
                  <w:gridSpan w:val="2"/>
                  <w:vMerge w:val="restart"/>
                  <w:shd w:val="clear" w:color="auto" w:fill="ADD95D"/>
                  <w:noWrap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C14E9F">
                    <w:rPr>
                      <w:b/>
                      <w:color w:val="FFFFFF" w:themeColor="background1"/>
                      <w:sz w:val="16"/>
                      <w:szCs w:val="16"/>
                    </w:rPr>
                    <w:t>SLUŽBA NABAVE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67" w:type="pct"/>
                  <w:gridSpan w:val="2"/>
                  <w:vMerge w:val="restart"/>
                  <w:shd w:val="clear" w:color="auto" w:fill="ADD95D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C14E9F">
                    <w:rPr>
                      <w:b/>
                      <w:color w:val="FFFFFF" w:themeColor="background1"/>
                      <w:sz w:val="16"/>
                      <w:szCs w:val="16"/>
                    </w:rPr>
                    <w:t>DELOVNA ENOTA PRISTANIŠKA IN PARKIRIŠČNA DEJAVNOST</w:t>
                  </w:r>
                </w:p>
              </w:tc>
              <w:tc>
                <w:tcPr>
                  <w:tcW w:w="1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73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</w:tr>
            <w:tr w:rsidR="00EB0CBA" w:rsidRPr="00C14E9F" w:rsidTr="00EB0CBA">
              <w:trPr>
                <w:trHeight w:val="372"/>
              </w:trPr>
              <w:tc>
                <w:tcPr>
                  <w:tcW w:w="236" w:type="pct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4" w:type="pct"/>
                  <w:gridSpan w:val="2"/>
                  <w:vMerge/>
                  <w:shd w:val="clear" w:color="auto" w:fill="ADD95D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67" w:type="pct"/>
                  <w:gridSpan w:val="2"/>
                  <w:vMerge/>
                  <w:shd w:val="clear" w:color="auto" w:fill="ADD95D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73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</w:tr>
            <w:tr w:rsidR="00EB0CBA" w:rsidRPr="00C14E9F" w:rsidTr="00EB0CBA">
              <w:trPr>
                <w:trHeight w:val="146"/>
              </w:trPr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37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38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21" w:type="pct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46" w:type="pct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73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</w:tr>
            <w:tr w:rsidR="00EB0CBA" w:rsidRPr="00C14E9F" w:rsidTr="00EB0CBA">
              <w:trPr>
                <w:trHeight w:val="269"/>
              </w:trPr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3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67" w:type="pct"/>
                  <w:gridSpan w:val="2"/>
                  <w:vMerge w:val="restart"/>
                  <w:shd w:val="clear" w:color="auto" w:fill="ADD95D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C14E9F">
                    <w:rPr>
                      <w:b/>
                      <w:color w:val="FFFFFF" w:themeColor="background1"/>
                      <w:sz w:val="16"/>
                      <w:szCs w:val="16"/>
                    </w:rPr>
                    <w:t>DELOVNA ENOTA MEHANIZACIJA</w:t>
                  </w:r>
                </w:p>
              </w:tc>
              <w:tc>
                <w:tcPr>
                  <w:tcW w:w="1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73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</w:tr>
            <w:tr w:rsidR="00EB0CBA" w:rsidRPr="00C14E9F" w:rsidTr="00EB0CBA">
              <w:trPr>
                <w:trHeight w:val="432"/>
              </w:trPr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3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67" w:type="pct"/>
                  <w:gridSpan w:val="2"/>
                  <w:vMerge/>
                  <w:shd w:val="clear" w:color="auto" w:fill="ADD95D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73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</w:tr>
            <w:tr w:rsidR="00EB0CBA" w:rsidRPr="00C14E9F" w:rsidTr="00EB0CBA">
              <w:trPr>
                <w:trHeight w:val="74"/>
              </w:trPr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3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21" w:type="pct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46" w:type="pct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73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</w:tr>
            <w:tr w:rsidR="00EB0CBA" w:rsidRPr="00C14E9F" w:rsidTr="00EB0CBA">
              <w:trPr>
                <w:trHeight w:val="268"/>
              </w:trPr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3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single" w:sz="4" w:space="0" w:color="auto"/>
                    <w:bottom w:val="single" w:sz="4" w:space="0" w:color="000000" w:themeColor="text1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67" w:type="pct"/>
                  <w:gridSpan w:val="2"/>
                  <w:vMerge w:val="restart"/>
                  <w:shd w:val="clear" w:color="auto" w:fill="ADD95D"/>
                  <w:vAlign w:val="center"/>
                </w:tcPr>
                <w:p w:rsidR="00EB0CBA" w:rsidRPr="00C14E9F" w:rsidRDefault="00EB0CBA" w:rsidP="00F1048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C14E9F">
                    <w:rPr>
                      <w:b/>
                      <w:color w:val="FFFFFF" w:themeColor="background1"/>
                      <w:sz w:val="16"/>
                      <w:szCs w:val="16"/>
                    </w:rPr>
                    <w:t>DELOVNA ENOTA</w:t>
                  </w:r>
                </w:p>
                <w:p w:rsidR="00EB0CBA" w:rsidRPr="00C14E9F" w:rsidRDefault="00EB0CBA" w:rsidP="00F1048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C14E9F">
                    <w:rPr>
                      <w:b/>
                      <w:color w:val="FFFFFF" w:themeColor="background1"/>
                      <w:sz w:val="16"/>
                      <w:szCs w:val="16"/>
                    </w:rPr>
                    <w:t>GRADNJE</w:t>
                  </w:r>
                </w:p>
              </w:tc>
              <w:tc>
                <w:tcPr>
                  <w:tcW w:w="1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73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</w:tr>
            <w:tr w:rsidR="00EB0CBA" w:rsidRPr="00C14E9F" w:rsidTr="00EB0CBA">
              <w:trPr>
                <w:trHeight w:val="372"/>
              </w:trPr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3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pct"/>
                  <w:tcBorders>
                    <w:top w:val="single" w:sz="4" w:space="0" w:color="000000" w:themeColor="text1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67" w:type="pct"/>
                  <w:gridSpan w:val="2"/>
                  <w:vMerge/>
                  <w:shd w:val="clear" w:color="auto" w:fill="ADD95D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73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</w:tr>
            <w:tr w:rsidR="00EB0CBA" w:rsidRPr="00C14E9F" w:rsidTr="00EB0CBA">
              <w:trPr>
                <w:trHeight w:val="72"/>
              </w:trPr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3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21" w:type="pct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46" w:type="pct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73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</w:tr>
            <w:tr w:rsidR="00EB0CBA" w:rsidRPr="00C14E9F" w:rsidTr="00EB0CBA">
              <w:trPr>
                <w:trHeight w:val="253"/>
              </w:trPr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3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67" w:type="pct"/>
                  <w:gridSpan w:val="2"/>
                  <w:vMerge w:val="restart"/>
                  <w:shd w:val="clear" w:color="auto" w:fill="ADD95D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>DELOVNA ENOTA EKOLOGIJA IN RAVNANJE Z ODPADKI</w:t>
                  </w:r>
                </w:p>
              </w:tc>
              <w:tc>
                <w:tcPr>
                  <w:tcW w:w="1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73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</w:tr>
            <w:tr w:rsidR="00EB0CBA" w:rsidRPr="00C14E9F" w:rsidTr="00EB0CBA">
              <w:trPr>
                <w:trHeight w:val="372"/>
              </w:trPr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3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pct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67" w:type="pct"/>
                  <w:gridSpan w:val="2"/>
                  <w:vMerge/>
                  <w:shd w:val="clear" w:color="auto" w:fill="ADD95D"/>
                  <w:vAlign w:val="center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73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</w:tr>
            <w:tr w:rsidR="00EB0CBA" w:rsidRPr="00C14E9F" w:rsidTr="00EB0CBA">
              <w:trPr>
                <w:trHeight w:val="84"/>
              </w:trPr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3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21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6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8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0CBA" w:rsidRPr="00C14E9F" w:rsidRDefault="00EB0CBA" w:rsidP="00EB0C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95440B" w:rsidRDefault="0095440B">
            <w:pPr>
              <w:tabs>
                <w:tab w:val="left" w:pos="3261"/>
              </w:tabs>
            </w:pPr>
          </w:p>
        </w:tc>
      </w:tr>
      <w:tr w:rsidR="0095440B" w:rsidTr="002A0135">
        <w:tc>
          <w:tcPr>
            <w:tcW w:w="9067" w:type="dxa"/>
            <w:gridSpan w:val="2"/>
            <w:shd w:val="clear" w:color="auto" w:fill="F3F3F3"/>
          </w:tcPr>
          <w:p w:rsidR="0095440B" w:rsidRDefault="0061116A">
            <w:pPr>
              <w:tabs>
                <w:tab w:val="left" w:pos="3261"/>
              </w:tabs>
              <w:jc w:val="left"/>
              <w:rPr>
                <w:b/>
              </w:rPr>
            </w:pPr>
            <w:r>
              <w:rPr>
                <w:b/>
              </w:rPr>
              <w:lastRenderedPageBreak/>
              <w:t>2.b</w:t>
            </w:r>
            <w:r w:rsidR="0095440B">
              <w:rPr>
                <w:b/>
              </w:rPr>
              <w:t xml:space="preserve"> Kontaktni podatki uradne osebe (oseb), pristojnih za posredovanje informacij</w:t>
            </w:r>
          </w:p>
        </w:tc>
      </w:tr>
      <w:tr w:rsidR="0095440B" w:rsidTr="000F7087">
        <w:trPr>
          <w:trHeight w:val="456"/>
        </w:trPr>
        <w:tc>
          <w:tcPr>
            <w:tcW w:w="2907" w:type="dxa"/>
            <w:shd w:val="clear" w:color="auto" w:fill="auto"/>
          </w:tcPr>
          <w:p w:rsidR="0095440B" w:rsidRDefault="0095440B">
            <w:pPr>
              <w:tabs>
                <w:tab w:val="left" w:pos="3261"/>
              </w:tabs>
              <w:jc w:val="left"/>
            </w:pPr>
            <w:r>
              <w:t>Pristojna oseba:</w:t>
            </w:r>
          </w:p>
        </w:tc>
        <w:tc>
          <w:tcPr>
            <w:tcW w:w="6160" w:type="dxa"/>
            <w:shd w:val="clear" w:color="auto" w:fill="auto"/>
          </w:tcPr>
          <w:p w:rsidR="0095440B" w:rsidRPr="008B5AA9" w:rsidRDefault="00203088" w:rsidP="00203088">
            <w:pPr>
              <w:tabs>
                <w:tab w:val="left" w:pos="3261"/>
              </w:tabs>
              <w:ind w:left="318"/>
            </w:pPr>
            <w:r w:rsidRPr="008B5AA9">
              <w:t>Denis Bele, direktor</w:t>
            </w:r>
          </w:p>
        </w:tc>
      </w:tr>
      <w:tr w:rsidR="0095440B" w:rsidTr="00332D1E">
        <w:tc>
          <w:tcPr>
            <w:tcW w:w="9067" w:type="dxa"/>
            <w:gridSpan w:val="2"/>
            <w:shd w:val="clear" w:color="auto" w:fill="F3F3F3"/>
          </w:tcPr>
          <w:p w:rsidR="0095440B" w:rsidRDefault="0061116A">
            <w:pPr>
              <w:tabs>
                <w:tab w:val="left" w:pos="3261"/>
              </w:tabs>
              <w:jc w:val="left"/>
              <w:rPr>
                <w:b/>
              </w:rPr>
            </w:pPr>
            <w:r>
              <w:rPr>
                <w:b/>
              </w:rPr>
              <w:t>2.c</w:t>
            </w:r>
            <w:r w:rsidR="0095440B">
              <w:rPr>
                <w:b/>
              </w:rPr>
              <w:t xml:space="preserve"> Seznam zakonov, podzakonskih aktov in predpisov Evropskih skupnosti z delovnega področja organa (preko državnega, lokalnega oziroma evropskega registra predpisov)</w:t>
            </w:r>
          </w:p>
        </w:tc>
      </w:tr>
      <w:tr w:rsidR="0095440B" w:rsidTr="000F7087">
        <w:trPr>
          <w:trHeight w:val="567"/>
        </w:trPr>
        <w:tc>
          <w:tcPr>
            <w:tcW w:w="2907" w:type="dxa"/>
          </w:tcPr>
          <w:p w:rsidR="0095440B" w:rsidRDefault="0095440B">
            <w:pPr>
              <w:tabs>
                <w:tab w:val="left" w:pos="3261"/>
              </w:tabs>
              <w:jc w:val="left"/>
            </w:pPr>
            <w:r>
              <w:t>Državni predpisi</w:t>
            </w:r>
          </w:p>
        </w:tc>
        <w:tc>
          <w:tcPr>
            <w:tcW w:w="6160" w:type="dxa"/>
          </w:tcPr>
          <w:p w:rsidR="00203088" w:rsidRPr="008B5AA9" w:rsidRDefault="00C44204" w:rsidP="00203088">
            <w:pPr>
              <w:pStyle w:val="Glava"/>
              <w:tabs>
                <w:tab w:val="clear" w:pos="4320"/>
                <w:tab w:val="clear" w:pos="8640"/>
                <w:tab w:val="left" w:pos="3261"/>
              </w:tabs>
              <w:rPr>
                <w:rStyle w:val="Hiperpovezava"/>
              </w:rPr>
            </w:pPr>
            <w:hyperlink r:id="rId7" w:history="1">
              <w:r w:rsidR="00203088" w:rsidRPr="008B5AA9">
                <w:rPr>
                  <w:rStyle w:val="Hiperpovezava"/>
                </w:rPr>
                <w:t>www.pisrs.si</w:t>
              </w:r>
            </w:hyperlink>
          </w:p>
          <w:p w:rsidR="008B5AA9" w:rsidRPr="007B762E" w:rsidRDefault="00C44204" w:rsidP="00203088">
            <w:pPr>
              <w:pStyle w:val="Glava"/>
              <w:tabs>
                <w:tab w:val="clear" w:pos="4320"/>
                <w:tab w:val="clear" w:pos="8640"/>
                <w:tab w:val="left" w:pos="3261"/>
              </w:tabs>
              <w:rPr>
                <w:color w:val="0000FF" w:themeColor="hyperlink"/>
                <w:u w:val="single"/>
              </w:rPr>
            </w:pPr>
            <w:hyperlink r:id="rId8" w:history="1">
              <w:r w:rsidR="00203088" w:rsidRPr="008B5AA9">
                <w:rPr>
                  <w:rStyle w:val="Hiperpovezava"/>
                </w:rPr>
                <w:t>www.uradni-list.si</w:t>
              </w:r>
            </w:hyperlink>
          </w:p>
        </w:tc>
      </w:tr>
      <w:tr w:rsidR="0095440B" w:rsidTr="008579D6">
        <w:tc>
          <w:tcPr>
            <w:tcW w:w="2907" w:type="dxa"/>
            <w:shd w:val="clear" w:color="auto" w:fill="auto"/>
            <w:vAlign w:val="center"/>
          </w:tcPr>
          <w:p w:rsidR="0095440B" w:rsidRDefault="0095440B" w:rsidP="00C66D1B">
            <w:pPr>
              <w:tabs>
                <w:tab w:val="left" w:pos="3261"/>
              </w:tabs>
              <w:jc w:val="left"/>
            </w:pPr>
            <w:r>
              <w:t>Predpisi lokalnih skupnosti</w:t>
            </w:r>
            <w:r w:rsidR="00203088">
              <w:t xml:space="preserve"> s področja dejavnosti</w:t>
            </w:r>
            <w:r w:rsidR="00C66D1B">
              <w:t xml:space="preserve"> podjetja</w:t>
            </w:r>
          </w:p>
        </w:tc>
        <w:tc>
          <w:tcPr>
            <w:tcW w:w="6160" w:type="dxa"/>
          </w:tcPr>
          <w:p w:rsidR="008B5AA9" w:rsidRPr="008B5AA9" w:rsidRDefault="00C44204">
            <w:pPr>
              <w:pStyle w:val="Glava"/>
              <w:tabs>
                <w:tab w:val="clear" w:pos="4320"/>
                <w:tab w:val="clear" w:pos="8640"/>
                <w:tab w:val="left" w:pos="3261"/>
              </w:tabs>
              <w:rPr>
                <w:rStyle w:val="Hiperpovezava"/>
              </w:rPr>
            </w:pPr>
            <w:hyperlink r:id="rId9" w:history="1">
              <w:r w:rsidR="00203088" w:rsidRPr="008B5AA9">
                <w:rPr>
                  <w:rStyle w:val="Hiperpovezava"/>
                </w:rPr>
                <w:t>www.uradni-list.si</w:t>
              </w:r>
            </w:hyperlink>
          </w:p>
          <w:p w:rsidR="008B5AA9" w:rsidRDefault="00C44204">
            <w:pPr>
              <w:pStyle w:val="Glava"/>
              <w:tabs>
                <w:tab w:val="clear" w:pos="4320"/>
                <w:tab w:val="clear" w:pos="8640"/>
                <w:tab w:val="left" w:pos="3261"/>
              </w:tabs>
              <w:rPr>
                <w:rStyle w:val="Hiperpovezava"/>
              </w:rPr>
            </w:pPr>
            <w:hyperlink r:id="rId10" w:history="1">
              <w:r w:rsidR="008B5AA9" w:rsidRPr="006659E6">
                <w:rPr>
                  <w:rStyle w:val="Hiperpovezava"/>
                </w:rPr>
                <w:t>www.izola.si/</w:t>
              </w:r>
            </w:hyperlink>
          </w:p>
          <w:p w:rsidR="000C6345" w:rsidRPr="000C6345" w:rsidRDefault="000C6345" w:rsidP="000C6345">
            <w:pPr>
              <w:tabs>
                <w:tab w:val="left" w:pos="3261"/>
              </w:tabs>
              <w:ind w:left="318"/>
            </w:pPr>
          </w:p>
          <w:p w:rsidR="00C1340F" w:rsidRDefault="00C1340F" w:rsidP="000C6345">
            <w:pPr>
              <w:pStyle w:val="Odstavekseznama"/>
              <w:numPr>
                <w:ilvl w:val="0"/>
                <w:numId w:val="10"/>
              </w:numPr>
              <w:tabs>
                <w:tab w:val="left" w:pos="3261"/>
              </w:tabs>
            </w:pPr>
            <w:r>
              <w:t>Statut Javnega podjetja Komunala Izola, d.o.o.</w:t>
            </w:r>
          </w:p>
          <w:p w:rsidR="000C6345" w:rsidRPr="000C6345" w:rsidRDefault="000C6345" w:rsidP="000C6345">
            <w:pPr>
              <w:pStyle w:val="Odstavekseznama"/>
              <w:numPr>
                <w:ilvl w:val="0"/>
                <w:numId w:val="10"/>
              </w:numPr>
              <w:tabs>
                <w:tab w:val="left" w:pos="3261"/>
              </w:tabs>
            </w:pPr>
            <w:r w:rsidRPr="000C6345">
              <w:t>Odlok o</w:t>
            </w:r>
            <w:r w:rsidR="00733C79">
              <w:t xml:space="preserve"> gospodarskih javnih službah v o</w:t>
            </w:r>
            <w:r w:rsidR="000F7087">
              <w:t>bčini Izola.</w:t>
            </w:r>
          </w:p>
          <w:p w:rsidR="000C6345" w:rsidRPr="000C6345" w:rsidRDefault="000C6345" w:rsidP="000C6345">
            <w:pPr>
              <w:pStyle w:val="Odstavekseznama"/>
              <w:numPr>
                <w:ilvl w:val="0"/>
                <w:numId w:val="10"/>
              </w:numPr>
              <w:tabs>
                <w:tab w:val="left" w:pos="3261"/>
              </w:tabs>
            </w:pPr>
            <w:r w:rsidRPr="000C6345">
              <w:t>Odlok o uredi</w:t>
            </w:r>
            <w:r>
              <w:t>tvi status</w:t>
            </w:r>
            <w:r w:rsidR="008673D2">
              <w:t>a J</w:t>
            </w:r>
            <w:r w:rsidRPr="000C6345">
              <w:t>avnega podjetja Komunala Izola</w:t>
            </w:r>
            <w:r w:rsidR="000B64E5" w:rsidRPr="000F7087">
              <w:t>,</w:t>
            </w:r>
            <w:r w:rsidRPr="000C6345">
              <w:t xml:space="preserve"> d.o.o.</w:t>
            </w:r>
            <w:r w:rsidR="000F7087">
              <w:t>.</w:t>
            </w:r>
          </w:p>
          <w:p w:rsidR="000C6345" w:rsidRPr="00F44813" w:rsidRDefault="000C6345" w:rsidP="00F44813">
            <w:pPr>
              <w:pStyle w:val="Odstavekseznama"/>
              <w:numPr>
                <w:ilvl w:val="0"/>
                <w:numId w:val="10"/>
              </w:numPr>
              <w:tabs>
                <w:tab w:val="left" w:pos="3261"/>
              </w:tabs>
            </w:pPr>
            <w:r w:rsidRPr="000C6345">
              <w:t xml:space="preserve">Odlok o odvajanju in čiščenju </w:t>
            </w:r>
            <w:r w:rsidR="00733C79">
              <w:t>odpadnih in padavinskih voda v o</w:t>
            </w:r>
            <w:r w:rsidRPr="000C6345">
              <w:t>bčini Izola</w:t>
            </w:r>
            <w:r w:rsidR="000F7087">
              <w:t>.</w:t>
            </w:r>
          </w:p>
          <w:p w:rsidR="00B875EC" w:rsidRPr="00B875EC" w:rsidRDefault="00733C79" w:rsidP="000C6345">
            <w:pPr>
              <w:pStyle w:val="Odstavekseznama"/>
              <w:numPr>
                <w:ilvl w:val="0"/>
                <w:numId w:val="10"/>
              </w:numPr>
              <w:tabs>
                <w:tab w:val="left" w:pos="3261"/>
              </w:tabs>
              <w:rPr>
                <w:color w:val="0000FF" w:themeColor="hyperlink"/>
              </w:rPr>
            </w:pPr>
            <w:r>
              <w:t>Odlok o ravnanju z odpadki v o</w:t>
            </w:r>
            <w:r w:rsidR="000F7087">
              <w:t>bčini Izola.</w:t>
            </w:r>
          </w:p>
          <w:p w:rsidR="000F7087" w:rsidRDefault="005945F5" w:rsidP="00B12F51">
            <w:pPr>
              <w:pStyle w:val="Odstavekseznama"/>
              <w:numPr>
                <w:ilvl w:val="0"/>
                <w:numId w:val="10"/>
              </w:numPr>
              <w:tabs>
                <w:tab w:val="left" w:pos="3261"/>
              </w:tabs>
            </w:pPr>
            <w:r w:rsidRPr="007B762E">
              <w:t>Odlok o plakatiranju in oglaševanju na območju občine Izola</w:t>
            </w:r>
            <w:r w:rsidR="000F7087">
              <w:t>.</w:t>
            </w:r>
          </w:p>
          <w:p w:rsidR="005945F5" w:rsidRPr="003A6CF1" w:rsidRDefault="005945F5" w:rsidP="00B12F51">
            <w:pPr>
              <w:pStyle w:val="Odstavekseznama"/>
              <w:numPr>
                <w:ilvl w:val="0"/>
                <w:numId w:val="10"/>
              </w:numPr>
              <w:tabs>
                <w:tab w:val="left" w:pos="3261"/>
              </w:tabs>
            </w:pPr>
            <w:r w:rsidRPr="003A6CF1">
              <w:t>Odlok o tržnem redu</w:t>
            </w:r>
            <w:r w:rsidR="000F7087">
              <w:t>.</w:t>
            </w:r>
          </w:p>
          <w:p w:rsidR="000F7087" w:rsidRDefault="00733C79" w:rsidP="006706A2">
            <w:pPr>
              <w:pStyle w:val="Odstavekseznama"/>
              <w:numPr>
                <w:ilvl w:val="0"/>
                <w:numId w:val="10"/>
              </w:numPr>
              <w:tabs>
                <w:tab w:val="left" w:pos="3261"/>
              </w:tabs>
            </w:pPr>
            <w:r>
              <w:t xml:space="preserve">Odlok o ureditvi </w:t>
            </w:r>
            <w:r w:rsidR="000F7087">
              <w:t>cestnega prometa v občini Izola.</w:t>
            </w:r>
          </w:p>
          <w:p w:rsidR="005945F5" w:rsidRPr="007B762E" w:rsidRDefault="005945F5" w:rsidP="006706A2">
            <w:pPr>
              <w:pStyle w:val="Odstavekseznama"/>
              <w:numPr>
                <w:ilvl w:val="0"/>
                <w:numId w:val="10"/>
              </w:numPr>
              <w:tabs>
                <w:tab w:val="left" w:pos="3261"/>
              </w:tabs>
            </w:pPr>
            <w:r w:rsidRPr="007B762E">
              <w:t>Odlok o zunanjem vid</w:t>
            </w:r>
            <w:r w:rsidR="001C56E2" w:rsidRPr="007B762E">
              <w:t>e</w:t>
            </w:r>
            <w:r w:rsidR="00DE7B73">
              <w:t>zu in urejenosti mesta, naselij in podeželja v o</w:t>
            </w:r>
            <w:r w:rsidRPr="007B762E">
              <w:t>bčini Izola</w:t>
            </w:r>
            <w:r w:rsidR="000F7087">
              <w:t>.</w:t>
            </w:r>
          </w:p>
          <w:p w:rsidR="005945F5" w:rsidRDefault="00B856EB" w:rsidP="000C6345">
            <w:pPr>
              <w:pStyle w:val="Odstavekseznama"/>
              <w:numPr>
                <w:ilvl w:val="0"/>
                <w:numId w:val="10"/>
              </w:numPr>
              <w:tabs>
                <w:tab w:val="left" w:pos="3261"/>
              </w:tabs>
            </w:pPr>
            <w:r w:rsidRPr="007B762E">
              <w:t>Odlok o pokopališki in pogrebni dejavn</w:t>
            </w:r>
            <w:r w:rsidR="00733C79">
              <w:t>osti na območju o</w:t>
            </w:r>
            <w:r w:rsidRPr="007B762E">
              <w:t>bčine Izola</w:t>
            </w:r>
            <w:r w:rsidR="000F7087">
              <w:t>.</w:t>
            </w:r>
          </w:p>
          <w:p w:rsidR="000F7087" w:rsidRDefault="00C1340F" w:rsidP="00793BCF">
            <w:pPr>
              <w:pStyle w:val="Odstavekseznama"/>
              <w:numPr>
                <w:ilvl w:val="0"/>
                <w:numId w:val="10"/>
              </w:numPr>
              <w:tabs>
                <w:tab w:val="left" w:pos="3261"/>
              </w:tabs>
            </w:pPr>
            <w:r w:rsidRPr="007B762E">
              <w:t>Odlok o občinskem pristanišču Izola</w:t>
            </w:r>
            <w:r w:rsidR="000F7087">
              <w:t>.</w:t>
            </w:r>
          </w:p>
          <w:p w:rsidR="000F7087" w:rsidRDefault="00C1340F" w:rsidP="000F7087">
            <w:pPr>
              <w:pStyle w:val="Odstavekseznama"/>
              <w:numPr>
                <w:ilvl w:val="0"/>
                <w:numId w:val="10"/>
              </w:numPr>
              <w:tabs>
                <w:tab w:val="left" w:pos="3261"/>
              </w:tabs>
            </w:pPr>
            <w:r w:rsidRPr="007B762E">
              <w:t>Splošni pogoji za opravljanje varnega prometa in vzdrževanje reda v občinskem pristanišču Izola</w:t>
            </w:r>
            <w:r w:rsidR="000F7087">
              <w:t>.</w:t>
            </w:r>
          </w:p>
          <w:p w:rsidR="00303C89" w:rsidRPr="000F7087" w:rsidRDefault="00C1340F" w:rsidP="000F7087">
            <w:pPr>
              <w:pStyle w:val="Odstavekseznama"/>
              <w:numPr>
                <w:ilvl w:val="0"/>
                <w:numId w:val="10"/>
              </w:numPr>
              <w:tabs>
                <w:tab w:val="left" w:pos="3261"/>
              </w:tabs>
            </w:pPr>
            <w:r w:rsidRPr="007B762E">
              <w:t>Pravilnik o dovolilnicah za promet na območju s posebnim prometnim režimom in abonmajih</w:t>
            </w:r>
            <w:r w:rsidR="000F7087">
              <w:t>.</w:t>
            </w:r>
          </w:p>
          <w:p w:rsidR="00303C89" w:rsidRPr="007B762E" w:rsidRDefault="00303C89" w:rsidP="000C6345">
            <w:pPr>
              <w:pStyle w:val="Odstavekseznama"/>
              <w:numPr>
                <w:ilvl w:val="0"/>
                <w:numId w:val="10"/>
              </w:numPr>
              <w:tabs>
                <w:tab w:val="left" w:pos="3261"/>
              </w:tabs>
            </w:pPr>
            <w:r>
              <w:t>Pravilnik o dodeljevanju neprofi</w:t>
            </w:r>
            <w:r w:rsidR="000F7087">
              <w:t>tnih stanovanj in bivalnih enot.</w:t>
            </w:r>
          </w:p>
          <w:p w:rsidR="00303C89" w:rsidRPr="00303C89" w:rsidRDefault="00303C89" w:rsidP="00303C89">
            <w:pPr>
              <w:tabs>
                <w:tab w:val="left" w:pos="3261"/>
              </w:tabs>
              <w:rPr>
                <w:rStyle w:val="Hiperpovezava"/>
                <w:u w:val="none"/>
              </w:rPr>
            </w:pPr>
          </w:p>
        </w:tc>
      </w:tr>
      <w:tr w:rsidR="0095440B" w:rsidTr="000F7087">
        <w:trPr>
          <w:trHeight w:val="404"/>
        </w:trPr>
        <w:tc>
          <w:tcPr>
            <w:tcW w:w="2907" w:type="dxa"/>
          </w:tcPr>
          <w:p w:rsidR="0095440B" w:rsidRDefault="0095440B">
            <w:pPr>
              <w:tabs>
                <w:tab w:val="left" w:pos="3261"/>
              </w:tabs>
              <w:jc w:val="left"/>
            </w:pPr>
            <w:r>
              <w:t>Predpisi EU</w:t>
            </w:r>
          </w:p>
        </w:tc>
        <w:tc>
          <w:tcPr>
            <w:tcW w:w="6160" w:type="dxa"/>
          </w:tcPr>
          <w:p w:rsidR="0095440B" w:rsidRPr="008B5AA9" w:rsidRDefault="008B5AA9">
            <w:pPr>
              <w:pStyle w:val="Glava"/>
              <w:tabs>
                <w:tab w:val="clear" w:pos="4320"/>
                <w:tab w:val="clear" w:pos="8640"/>
                <w:tab w:val="left" w:pos="3261"/>
              </w:tabs>
              <w:rPr>
                <w:rStyle w:val="Hiperpovezava"/>
              </w:rPr>
            </w:pPr>
            <w:r w:rsidRPr="008B5AA9">
              <w:rPr>
                <w:rStyle w:val="Hiperpovezava"/>
              </w:rPr>
              <w:t>http://eur-lex.europa.eu/homepage.html?locale=sl</w:t>
            </w:r>
          </w:p>
        </w:tc>
      </w:tr>
      <w:tr w:rsidR="0095440B" w:rsidTr="00332D1E">
        <w:tc>
          <w:tcPr>
            <w:tcW w:w="9067" w:type="dxa"/>
            <w:gridSpan w:val="2"/>
            <w:shd w:val="clear" w:color="auto" w:fill="F3F3F3"/>
          </w:tcPr>
          <w:p w:rsidR="0095440B" w:rsidRDefault="0061116A">
            <w:pPr>
              <w:tabs>
                <w:tab w:val="left" w:pos="3261"/>
              </w:tabs>
              <w:jc w:val="left"/>
              <w:rPr>
                <w:b/>
              </w:rPr>
            </w:pPr>
            <w:r>
              <w:rPr>
                <w:b/>
              </w:rPr>
              <w:t>2.d</w:t>
            </w:r>
            <w:r w:rsidR="0095440B">
              <w:rPr>
                <w:b/>
              </w:rPr>
              <w:t xml:space="preserve"> Seznam strateških in programskih dokumentov po vsebinskih sklopih</w:t>
            </w:r>
          </w:p>
        </w:tc>
      </w:tr>
      <w:tr w:rsidR="0095440B" w:rsidTr="000F7087">
        <w:trPr>
          <w:trHeight w:val="583"/>
        </w:trPr>
        <w:tc>
          <w:tcPr>
            <w:tcW w:w="2907" w:type="dxa"/>
          </w:tcPr>
          <w:p w:rsidR="0095440B" w:rsidRDefault="0095440B">
            <w:pPr>
              <w:tabs>
                <w:tab w:val="left" w:pos="3261"/>
              </w:tabs>
              <w:jc w:val="left"/>
            </w:pPr>
            <w:r>
              <w:t xml:space="preserve">Seznam strateških in programskih dokumentov </w:t>
            </w:r>
          </w:p>
        </w:tc>
        <w:tc>
          <w:tcPr>
            <w:tcW w:w="6160" w:type="dxa"/>
          </w:tcPr>
          <w:p w:rsidR="00D06766" w:rsidRPr="00EB0CBA" w:rsidRDefault="00172F2E" w:rsidP="002A0135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 w:rsidRPr="00EB0CBA">
              <w:t>Poslovni načrt podjetja</w:t>
            </w:r>
          </w:p>
        </w:tc>
      </w:tr>
      <w:tr w:rsidR="0095440B" w:rsidTr="00332D1E">
        <w:tc>
          <w:tcPr>
            <w:tcW w:w="9067" w:type="dxa"/>
            <w:gridSpan w:val="2"/>
            <w:shd w:val="clear" w:color="auto" w:fill="F3F3F3"/>
          </w:tcPr>
          <w:p w:rsidR="0095440B" w:rsidRDefault="0061116A">
            <w:pPr>
              <w:tabs>
                <w:tab w:val="left" w:pos="3261"/>
              </w:tabs>
              <w:jc w:val="left"/>
              <w:rPr>
                <w:b/>
              </w:rPr>
            </w:pPr>
            <w:r>
              <w:rPr>
                <w:b/>
              </w:rPr>
              <w:t>2.e</w:t>
            </w:r>
            <w:r w:rsidR="0095440B">
              <w:rPr>
                <w:b/>
              </w:rPr>
              <w:t xml:space="preserve"> Seznam vrst upravnih, sodnih ali zakonodajnih postopkov</w:t>
            </w:r>
          </w:p>
        </w:tc>
      </w:tr>
      <w:tr w:rsidR="0095440B" w:rsidTr="000F7087">
        <w:trPr>
          <w:trHeight w:val="835"/>
        </w:trPr>
        <w:tc>
          <w:tcPr>
            <w:tcW w:w="2907" w:type="dxa"/>
          </w:tcPr>
          <w:p w:rsidR="0095440B" w:rsidRDefault="0095440B">
            <w:pPr>
              <w:tabs>
                <w:tab w:val="left" w:pos="3261"/>
              </w:tabs>
              <w:jc w:val="left"/>
            </w:pPr>
            <w:r>
              <w:t>V</w:t>
            </w:r>
            <w:r w:rsidR="00C66D1B">
              <w:t>rste postopkov, ki jih vodi podjetje</w:t>
            </w:r>
          </w:p>
        </w:tc>
        <w:tc>
          <w:tcPr>
            <w:tcW w:w="6160" w:type="dxa"/>
          </w:tcPr>
          <w:p w:rsidR="0095440B" w:rsidRDefault="008B5AA9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>
              <w:t>Izdaja soglasij</w:t>
            </w:r>
            <w:r w:rsidR="008E3C20">
              <w:t>, odločb in sklepov iz posameznih gospodarskih javnih služb</w:t>
            </w:r>
            <w:r w:rsidR="00DF568C">
              <w:t>.</w:t>
            </w:r>
          </w:p>
          <w:p w:rsidR="008B5AA9" w:rsidRDefault="008B5AA9" w:rsidP="008E3C20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>
              <w:t>Postopki javnih naročil</w:t>
            </w:r>
            <w:r w:rsidR="00DF568C">
              <w:t>.</w:t>
            </w:r>
          </w:p>
        </w:tc>
      </w:tr>
      <w:tr w:rsidR="0095440B" w:rsidTr="007B762E">
        <w:tc>
          <w:tcPr>
            <w:tcW w:w="9067" w:type="dxa"/>
            <w:gridSpan w:val="2"/>
            <w:shd w:val="clear" w:color="auto" w:fill="F3F3F3"/>
          </w:tcPr>
          <w:p w:rsidR="0095440B" w:rsidRDefault="0061116A">
            <w:pPr>
              <w:tabs>
                <w:tab w:val="left" w:pos="3261"/>
              </w:tabs>
              <w:jc w:val="left"/>
              <w:rPr>
                <w:b/>
              </w:rPr>
            </w:pPr>
            <w:r>
              <w:rPr>
                <w:b/>
              </w:rPr>
              <w:t>2.f</w:t>
            </w:r>
            <w:r w:rsidR="00C66D1B">
              <w:rPr>
                <w:b/>
              </w:rPr>
              <w:t xml:space="preserve"> Seznam evidenc, s katerimi podjetje</w:t>
            </w:r>
            <w:r w:rsidR="0095440B">
              <w:rPr>
                <w:b/>
              </w:rPr>
              <w:t xml:space="preserve"> upravlja</w:t>
            </w:r>
          </w:p>
        </w:tc>
      </w:tr>
      <w:tr w:rsidR="0095440B" w:rsidTr="00C66D1B">
        <w:tc>
          <w:tcPr>
            <w:tcW w:w="2907" w:type="dxa"/>
          </w:tcPr>
          <w:p w:rsidR="0095440B" w:rsidRDefault="0095440B">
            <w:pPr>
              <w:tabs>
                <w:tab w:val="left" w:pos="3261"/>
              </w:tabs>
              <w:jc w:val="left"/>
            </w:pPr>
            <w:r>
              <w:t>Seznam evidenc</w:t>
            </w:r>
          </w:p>
        </w:tc>
        <w:tc>
          <w:tcPr>
            <w:tcW w:w="6160" w:type="dxa"/>
            <w:shd w:val="clear" w:color="auto" w:fill="FFFFFF" w:themeFill="background1"/>
          </w:tcPr>
          <w:p w:rsidR="00172F2E" w:rsidRPr="00C66D1B" w:rsidRDefault="00172F2E" w:rsidP="00172F2E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 w:rsidRPr="00C66D1B">
              <w:t>Kataster grobov</w:t>
            </w:r>
            <w:r w:rsidR="00DF568C">
              <w:t>.</w:t>
            </w:r>
          </w:p>
          <w:p w:rsidR="00172F2E" w:rsidRPr="00C66D1B" w:rsidRDefault="00172F2E" w:rsidP="00172F2E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 w:rsidRPr="00C66D1B">
              <w:t>Kataster pristanišč in privezov</w:t>
            </w:r>
            <w:r w:rsidR="00DF568C">
              <w:t>.</w:t>
            </w:r>
          </w:p>
          <w:p w:rsidR="00172F2E" w:rsidRPr="00C66D1B" w:rsidRDefault="008E3C20" w:rsidP="00172F2E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 w:rsidRPr="00C66D1B">
              <w:t>Kataster javnega kanalizacijskega omrežja (meteorna in fekalna kanalizacija, črpališča, čistilne naprave)</w:t>
            </w:r>
            <w:r w:rsidR="00DF568C">
              <w:t>.</w:t>
            </w:r>
          </w:p>
          <w:p w:rsidR="00814F39" w:rsidRPr="00C66D1B" w:rsidRDefault="008E3C20" w:rsidP="00C66D1B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 w:rsidRPr="00C66D1B">
              <w:t>Evidenca parkirišč v upravljanju</w:t>
            </w:r>
            <w:r w:rsidR="00DF568C">
              <w:t>.</w:t>
            </w:r>
          </w:p>
          <w:p w:rsidR="008E3C20" w:rsidRPr="00C66D1B" w:rsidRDefault="00814F39" w:rsidP="00172F2E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 w:rsidRPr="00C66D1B">
              <w:t>Evidenca zabojnikov</w:t>
            </w:r>
            <w:r w:rsidR="00DF568C">
              <w:t xml:space="preserve"> odpadkov.</w:t>
            </w:r>
          </w:p>
          <w:p w:rsidR="00814F39" w:rsidRPr="00C66D1B" w:rsidRDefault="00814F39" w:rsidP="00172F2E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 w:rsidRPr="00C66D1B">
              <w:t>Evidenca prevzemnih mest</w:t>
            </w:r>
            <w:r w:rsidR="00DF568C">
              <w:t xml:space="preserve"> odpadkov.</w:t>
            </w:r>
          </w:p>
          <w:p w:rsidR="00814F39" w:rsidRDefault="00814F39" w:rsidP="00814F39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 w:rsidRPr="00C66D1B">
              <w:t xml:space="preserve">Evidenca uporabnikov </w:t>
            </w:r>
            <w:r w:rsidR="00C66D1B">
              <w:t>storitev podjetja</w:t>
            </w:r>
            <w:r w:rsidR="00DF568C">
              <w:t>.</w:t>
            </w:r>
          </w:p>
          <w:p w:rsidR="00303C89" w:rsidRDefault="00303C89" w:rsidP="00814F39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>
              <w:t>Evidenca stanovanj in poslovnih prostorov v upravljanju.</w:t>
            </w:r>
          </w:p>
          <w:p w:rsidR="0048527E" w:rsidRPr="00814F39" w:rsidRDefault="0048527E" w:rsidP="00814F39">
            <w:pPr>
              <w:tabs>
                <w:tab w:val="left" w:pos="3261"/>
              </w:tabs>
              <w:rPr>
                <w:highlight w:val="red"/>
              </w:rPr>
            </w:pPr>
          </w:p>
        </w:tc>
      </w:tr>
      <w:tr w:rsidR="0095440B" w:rsidTr="007B762E">
        <w:tc>
          <w:tcPr>
            <w:tcW w:w="9067" w:type="dxa"/>
            <w:gridSpan w:val="2"/>
            <w:shd w:val="clear" w:color="auto" w:fill="F3F3F3"/>
          </w:tcPr>
          <w:p w:rsidR="0095440B" w:rsidRDefault="0061116A">
            <w:pPr>
              <w:tabs>
                <w:tab w:val="left" w:pos="3261"/>
              </w:tabs>
              <w:jc w:val="left"/>
              <w:rPr>
                <w:b/>
              </w:rPr>
            </w:pPr>
            <w:r>
              <w:rPr>
                <w:b/>
              </w:rPr>
              <w:t>2.g</w:t>
            </w:r>
            <w:r w:rsidR="0095440B">
              <w:rPr>
                <w:b/>
              </w:rPr>
              <w:t xml:space="preserve"> Seznam drugih informatiziranih zbirk podatkov</w:t>
            </w:r>
          </w:p>
        </w:tc>
      </w:tr>
      <w:tr w:rsidR="0095440B" w:rsidTr="000F7087">
        <w:trPr>
          <w:trHeight w:val="508"/>
        </w:trPr>
        <w:tc>
          <w:tcPr>
            <w:tcW w:w="2907" w:type="dxa"/>
          </w:tcPr>
          <w:p w:rsidR="0095440B" w:rsidRDefault="0095440B">
            <w:pPr>
              <w:tabs>
                <w:tab w:val="left" w:pos="3261"/>
              </w:tabs>
              <w:jc w:val="left"/>
            </w:pPr>
            <w:r>
              <w:t>Seznam zbirk</w:t>
            </w:r>
          </w:p>
        </w:tc>
        <w:tc>
          <w:tcPr>
            <w:tcW w:w="6160" w:type="dxa"/>
            <w:shd w:val="clear" w:color="auto" w:fill="auto"/>
          </w:tcPr>
          <w:p w:rsidR="008E3C20" w:rsidRDefault="008E3C20" w:rsidP="008E3C20">
            <w:pPr>
              <w:numPr>
                <w:ilvl w:val="0"/>
                <w:numId w:val="4"/>
              </w:numPr>
              <w:tabs>
                <w:tab w:val="left" w:pos="3261"/>
              </w:tabs>
            </w:pPr>
            <w:r>
              <w:t xml:space="preserve">Ceniki (nahajajo se na spletni strani </w:t>
            </w:r>
            <w:hyperlink r:id="rId11" w:history="1">
              <w:r w:rsidRPr="00BF198F">
                <w:rPr>
                  <w:rStyle w:val="Hiperpovezava"/>
                </w:rPr>
                <w:t>http://www.komunala-izola.si/</w:t>
              </w:r>
            </w:hyperlink>
            <w:r>
              <w:t xml:space="preserve"> )</w:t>
            </w:r>
          </w:p>
        </w:tc>
      </w:tr>
    </w:tbl>
    <w:p w:rsidR="0095440B" w:rsidRDefault="0095440B">
      <w:pPr>
        <w:tabs>
          <w:tab w:val="left" w:pos="3261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6220"/>
      </w:tblGrid>
      <w:tr w:rsidR="0095440B">
        <w:tc>
          <w:tcPr>
            <w:tcW w:w="9211" w:type="dxa"/>
            <w:gridSpan w:val="2"/>
            <w:shd w:val="clear" w:color="auto" w:fill="99CC00"/>
          </w:tcPr>
          <w:p w:rsidR="0095440B" w:rsidRDefault="0095440B">
            <w:pPr>
              <w:tabs>
                <w:tab w:val="left" w:pos="3261"/>
              </w:tabs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lastRenderedPageBreak/>
              <w:t>3. Opis načina dostopa do drugih informacij javnega značaja</w:t>
            </w:r>
          </w:p>
        </w:tc>
      </w:tr>
      <w:tr w:rsidR="0095440B" w:rsidTr="000F7087">
        <w:trPr>
          <w:trHeight w:val="4978"/>
        </w:trPr>
        <w:tc>
          <w:tcPr>
            <w:tcW w:w="2943" w:type="dxa"/>
            <w:vAlign w:val="center"/>
          </w:tcPr>
          <w:p w:rsidR="004029C7" w:rsidRDefault="0095440B" w:rsidP="004029C7">
            <w:pPr>
              <w:tabs>
                <w:tab w:val="left" w:pos="3261"/>
              </w:tabs>
              <w:jc w:val="left"/>
            </w:pPr>
            <w:r>
              <w:t>Opis dostopa do posameznih sklopov informacij</w:t>
            </w:r>
          </w:p>
        </w:tc>
        <w:tc>
          <w:tcPr>
            <w:tcW w:w="6268" w:type="dxa"/>
          </w:tcPr>
          <w:p w:rsidR="00172F2E" w:rsidRPr="00B67BCC" w:rsidRDefault="00172F2E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 w:rsidRPr="00B67BCC">
              <w:t xml:space="preserve">Na spletni strani: </w:t>
            </w:r>
            <w:hyperlink r:id="rId12" w:history="1">
              <w:r w:rsidRPr="00B67BCC">
                <w:rPr>
                  <w:rStyle w:val="Hiperpovezava"/>
                </w:rPr>
                <w:t>www.komunala-izola.si</w:t>
              </w:r>
            </w:hyperlink>
            <w:r w:rsidRPr="00B67BCC">
              <w:t xml:space="preserve"> ;</w:t>
            </w:r>
          </w:p>
          <w:p w:rsidR="008E3C20" w:rsidRPr="00B67BCC" w:rsidRDefault="008E3C20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 w:rsidRPr="00B67BCC">
              <w:t>Pisno</w:t>
            </w:r>
            <w:r w:rsidR="00B67BCC" w:rsidRPr="00B67BCC">
              <w:t xml:space="preserve">, </w:t>
            </w:r>
            <w:r w:rsidRPr="00B67BCC">
              <w:t>v elektronski obliki (</w:t>
            </w:r>
            <w:hyperlink r:id="rId13" w:history="1">
              <w:r w:rsidR="00B67BCC" w:rsidRPr="00B67BCC">
                <w:rPr>
                  <w:rStyle w:val="Hiperpovezava"/>
                </w:rPr>
                <w:t>tajnistvo@komunala-izola.si</w:t>
              </w:r>
            </w:hyperlink>
            <w:r w:rsidRPr="00B67BCC">
              <w:t>)</w:t>
            </w:r>
            <w:r w:rsidR="00B67BCC" w:rsidRPr="00B67BCC">
              <w:t xml:space="preserve"> ali ustno;</w:t>
            </w:r>
          </w:p>
          <w:p w:rsidR="00172F2E" w:rsidRPr="00B67BCC" w:rsidRDefault="00172F2E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 w:rsidRPr="00B67BCC">
              <w:t>Na sedežu podjetja Industrijska cesta 8, Izola v času uradnih ur (ponedel</w:t>
            </w:r>
            <w:r w:rsidR="00453C04" w:rsidRPr="00B67BCC">
              <w:t xml:space="preserve">jek – sreda - </w:t>
            </w:r>
            <w:r w:rsidRPr="00B67BCC">
              <w:t>petek od 8. do 10. ure in od 10.30 do 12. ure)</w:t>
            </w:r>
            <w:r w:rsidR="00E77759" w:rsidRPr="00B67BCC">
              <w:t>;</w:t>
            </w:r>
          </w:p>
          <w:p w:rsidR="00E77759" w:rsidRPr="00B67BCC" w:rsidRDefault="00E77759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 w:rsidRPr="00B67BCC">
              <w:t xml:space="preserve">Na dislociranih enotah podjetja: </w:t>
            </w:r>
          </w:p>
          <w:p w:rsidR="00E77759" w:rsidRPr="00B67BCC" w:rsidRDefault="00E77759" w:rsidP="00E77759">
            <w:pPr>
              <w:pStyle w:val="Odstavekseznama"/>
              <w:numPr>
                <w:ilvl w:val="0"/>
                <w:numId w:val="8"/>
              </w:numPr>
              <w:tabs>
                <w:tab w:val="left" w:pos="3261"/>
              </w:tabs>
            </w:pPr>
            <w:r w:rsidRPr="00B67BCC">
              <w:t>O</w:t>
            </w:r>
            <w:r w:rsidR="00453C04" w:rsidRPr="00B67BCC">
              <w:t>dlagališče in zbirni center (</w:t>
            </w:r>
            <w:r w:rsidR="009E3712">
              <w:t>od ponedeljka</w:t>
            </w:r>
            <w:r w:rsidR="00453C04" w:rsidRPr="00B67BCC">
              <w:t xml:space="preserve"> </w:t>
            </w:r>
            <w:r w:rsidR="009E3712">
              <w:t xml:space="preserve">do petka </w:t>
            </w:r>
            <w:r w:rsidR="00453C04" w:rsidRPr="00B67BCC">
              <w:t>od 8. do 17. ure</w:t>
            </w:r>
            <w:r w:rsidRPr="00B67BCC">
              <w:t xml:space="preserve">; sobota </w:t>
            </w:r>
            <w:r w:rsidR="00453C04" w:rsidRPr="00B67BCC">
              <w:t>od 9. do 12. ure</w:t>
            </w:r>
            <w:r w:rsidRPr="00B67BCC">
              <w:t>)</w:t>
            </w:r>
            <w:r w:rsidR="008E3C20" w:rsidRPr="00B67BCC">
              <w:t>;</w:t>
            </w:r>
          </w:p>
          <w:p w:rsidR="00E77759" w:rsidRPr="00B67BCC" w:rsidRDefault="00E77759" w:rsidP="00E77759">
            <w:pPr>
              <w:pStyle w:val="Odstavekseznama"/>
              <w:numPr>
                <w:ilvl w:val="0"/>
                <w:numId w:val="8"/>
              </w:numPr>
              <w:tabs>
                <w:tab w:val="left" w:pos="3261"/>
              </w:tabs>
            </w:pPr>
            <w:r w:rsidRPr="00B67BCC">
              <w:t>Pristan</w:t>
            </w:r>
            <w:r w:rsidR="00453C04" w:rsidRPr="00B67BCC">
              <w:t>išče in parkirišče (ponedeljek</w:t>
            </w:r>
            <w:r w:rsidR="009E3712">
              <w:t xml:space="preserve">, </w:t>
            </w:r>
            <w:r w:rsidR="00453C04" w:rsidRPr="00B67BCC">
              <w:t>sreda</w:t>
            </w:r>
            <w:r w:rsidR="009E3712">
              <w:t xml:space="preserve">, </w:t>
            </w:r>
            <w:r w:rsidRPr="00B67BCC">
              <w:t>petek od 8. do 13. ure)</w:t>
            </w:r>
            <w:r w:rsidR="008E3C20" w:rsidRPr="00B67BCC">
              <w:t>;</w:t>
            </w:r>
          </w:p>
          <w:p w:rsidR="00E77759" w:rsidRPr="00B67BCC" w:rsidRDefault="00E77759" w:rsidP="00E77759">
            <w:pPr>
              <w:pStyle w:val="Odstavekseznama"/>
              <w:numPr>
                <w:ilvl w:val="0"/>
                <w:numId w:val="8"/>
              </w:numPr>
              <w:tabs>
                <w:tab w:val="left" w:pos="3261"/>
              </w:tabs>
            </w:pPr>
            <w:r w:rsidRPr="00B67BCC">
              <w:t>Pokopali</w:t>
            </w:r>
            <w:r w:rsidR="00EB0CBA" w:rsidRPr="00B67BCC">
              <w:t>šče (</w:t>
            </w:r>
            <w:r w:rsidR="009E3712">
              <w:t>od ponedeljka</w:t>
            </w:r>
            <w:r w:rsidR="0061116A" w:rsidRPr="00B67BCC">
              <w:t xml:space="preserve"> </w:t>
            </w:r>
            <w:r w:rsidR="009E3712">
              <w:t>do petka</w:t>
            </w:r>
            <w:r w:rsidR="00EB0CBA" w:rsidRPr="00B67BCC">
              <w:t xml:space="preserve"> od 9. do</w:t>
            </w:r>
            <w:r w:rsidRPr="00B67BCC">
              <w:t xml:space="preserve"> 1</w:t>
            </w:r>
            <w:r w:rsidR="00EB0CBA" w:rsidRPr="00B67BCC">
              <w:t>2. ure</w:t>
            </w:r>
            <w:r w:rsidRPr="00B67BCC">
              <w:t>)</w:t>
            </w:r>
            <w:r w:rsidR="008E3C20" w:rsidRPr="00B67BCC">
              <w:t>.</w:t>
            </w:r>
          </w:p>
          <w:p w:rsidR="008E3C20" w:rsidRPr="008E3C20" w:rsidRDefault="008E3C20" w:rsidP="008E3C20">
            <w:pPr>
              <w:tabs>
                <w:tab w:val="left" w:pos="3261"/>
              </w:tabs>
              <w:ind w:left="318"/>
              <w:rPr>
                <w:highlight w:val="red"/>
              </w:rPr>
            </w:pPr>
          </w:p>
          <w:p w:rsidR="00610C1D" w:rsidRPr="00610C1D" w:rsidRDefault="008E3C20" w:rsidP="00DF568C">
            <w:pPr>
              <w:tabs>
                <w:tab w:val="left" w:pos="3261"/>
              </w:tabs>
              <w:rPr>
                <w:color w:val="0000FF" w:themeColor="hyperlink"/>
                <w:u w:val="single"/>
              </w:rPr>
            </w:pPr>
            <w:r w:rsidRPr="008E3C20">
              <w:t xml:space="preserve">Kot informacija javnega značaja se po 4. členu Zakona o dostopu do informacij javnega značaja ZDIJZ-UPB2 (UL RS 51/2006) šteje vsaka informacija, ki izvira iz delovnega področja organa, nahaja pa se v obliki dokumenta, zadeve, dosjeja, registra, evidence ali drugega dokumentarnega gradiva, ki ga je organ izdelal sam, v sodelovanju z drugim organom, ali pridobil od drugih oseb. </w:t>
            </w:r>
            <w:r w:rsidR="00B67BCC">
              <w:t xml:space="preserve">Podrobnejše informacije so dostopne na spletni strani: </w:t>
            </w:r>
            <w:hyperlink r:id="rId14" w:history="1">
              <w:r w:rsidR="00B67BCC" w:rsidRPr="00DB6FFC">
                <w:rPr>
                  <w:rStyle w:val="Hiperpovezava"/>
                </w:rPr>
                <w:t>http://www.pisrs.si/Pis.web/pregledPredpisa?id=ZAKO3336</w:t>
              </w:r>
            </w:hyperlink>
          </w:p>
        </w:tc>
      </w:tr>
    </w:tbl>
    <w:p w:rsidR="0095440B" w:rsidRDefault="0095440B">
      <w:pPr>
        <w:tabs>
          <w:tab w:val="left" w:pos="3261"/>
        </w:tabs>
      </w:pPr>
    </w:p>
    <w:p w:rsidR="0095440B" w:rsidRDefault="0095440B">
      <w:pPr>
        <w:tabs>
          <w:tab w:val="left" w:pos="3261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160"/>
      </w:tblGrid>
      <w:tr w:rsidR="0095440B" w:rsidTr="003C0054">
        <w:tc>
          <w:tcPr>
            <w:tcW w:w="9062" w:type="dxa"/>
            <w:gridSpan w:val="2"/>
            <w:shd w:val="clear" w:color="auto" w:fill="99CC00"/>
          </w:tcPr>
          <w:p w:rsidR="0095440B" w:rsidRDefault="0095440B">
            <w:pPr>
              <w:tabs>
                <w:tab w:val="left" w:pos="3261"/>
              </w:tabs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4. Seznam najpogosteje zahtevanih </w:t>
            </w:r>
            <w:r w:rsidR="008A0874">
              <w:rPr>
                <w:b/>
                <w:smallCaps/>
                <w:sz w:val="22"/>
                <w:szCs w:val="22"/>
              </w:rPr>
              <w:t xml:space="preserve">informacij </w:t>
            </w:r>
            <w:r>
              <w:rPr>
                <w:b/>
                <w:smallCaps/>
                <w:sz w:val="22"/>
                <w:szCs w:val="22"/>
              </w:rPr>
              <w:t>javnega značaja</w:t>
            </w:r>
          </w:p>
        </w:tc>
      </w:tr>
      <w:tr w:rsidR="0095440B" w:rsidTr="003C0054">
        <w:tc>
          <w:tcPr>
            <w:tcW w:w="2902" w:type="dxa"/>
            <w:vAlign w:val="center"/>
          </w:tcPr>
          <w:p w:rsidR="0095440B" w:rsidRDefault="0095440B" w:rsidP="000F7087">
            <w:pPr>
              <w:tabs>
                <w:tab w:val="left" w:pos="3261"/>
              </w:tabs>
              <w:jc w:val="left"/>
            </w:pPr>
            <w:r>
              <w:t>Seznam najpogosteje zahtevanih informacij oziroma tematskih sklopov</w:t>
            </w:r>
          </w:p>
        </w:tc>
        <w:tc>
          <w:tcPr>
            <w:tcW w:w="6160" w:type="dxa"/>
          </w:tcPr>
          <w:p w:rsidR="005D3F49" w:rsidRDefault="005D3F49" w:rsidP="005D3F49">
            <w:pPr>
              <w:tabs>
                <w:tab w:val="left" w:pos="3261"/>
              </w:tabs>
              <w:ind w:left="459"/>
            </w:pPr>
          </w:p>
          <w:p w:rsidR="0095440B" w:rsidRPr="00B15A6C" w:rsidRDefault="00B62E99">
            <w:pPr>
              <w:numPr>
                <w:ilvl w:val="0"/>
                <w:numId w:val="5"/>
              </w:numPr>
              <w:tabs>
                <w:tab w:val="left" w:pos="3261"/>
              </w:tabs>
              <w:ind w:left="459"/>
              <w:rPr>
                <w:b/>
              </w:rPr>
            </w:pPr>
            <w:r w:rsidRPr="00B15A6C">
              <w:rPr>
                <w:b/>
              </w:rPr>
              <w:t>Kako obratuje</w:t>
            </w:r>
            <w:r w:rsidR="00DF568C">
              <w:rPr>
                <w:b/>
              </w:rPr>
              <w:t>ta</w:t>
            </w:r>
            <w:r w:rsidRPr="00B15A6C">
              <w:rPr>
                <w:b/>
              </w:rPr>
              <w:t xml:space="preserve"> Odlagališče in zbirni center?</w:t>
            </w:r>
          </w:p>
          <w:p w:rsidR="00106CF5" w:rsidRDefault="00106CF5" w:rsidP="00106CF5">
            <w:pPr>
              <w:tabs>
                <w:tab w:val="left" w:pos="3261"/>
              </w:tabs>
            </w:pPr>
            <w:r>
              <w:t>Odlagališče in zbirni center obratuje od ponedeljka do petka od 8. do 17. ure; sobota od 9. do 12. ure.</w:t>
            </w:r>
          </w:p>
          <w:p w:rsidR="00106CF5" w:rsidRDefault="00106CF5" w:rsidP="00106CF5">
            <w:pPr>
              <w:tabs>
                <w:tab w:val="left" w:pos="3261"/>
              </w:tabs>
            </w:pPr>
          </w:p>
          <w:p w:rsidR="00911B00" w:rsidRPr="00B15A6C" w:rsidRDefault="00B62E99">
            <w:pPr>
              <w:numPr>
                <w:ilvl w:val="0"/>
                <w:numId w:val="5"/>
              </w:numPr>
              <w:tabs>
                <w:tab w:val="left" w:pos="3261"/>
              </w:tabs>
              <w:ind w:left="459"/>
              <w:rPr>
                <w:b/>
              </w:rPr>
            </w:pPr>
            <w:r w:rsidRPr="00B15A6C">
              <w:rPr>
                <w:b/>
              </w:rPr>
              <w:t>Ali sem kot občan Logatca upravičen do komunalnega priveza?</w:t>
            </w:r>
          </w:p>
          <w:p w:rsidR="00911B00" w:rsidRDefault="00B15A6C" w:rsidP="00911B00">
            <w:pPr>
              <w:tabs>
                <w:tab w:val="left" w:pos="3261"/>
              </w:tabs>
            </w:pPr>
            <w:r>
              <w:t>Kot prebivalec občine Logatec niste upravičeni do komunalnega priveza, saj ne izpolnjujete pogojev v skladu z določili Odloka o občinskem pristanišču Izola.</w:t>
            </w:r>
          </w:p>
          <w:p w:rsidR="005D3F49" w:rsidRDefault="005D3F49" w:rsidP="00911B00">
            <w:pPr>
              <w:tabs>
                <w:tab w:val="left" w:pos="3261"/>
              </w:tabs>
              <w:ind w:left="99"/>
            </w:pPr>
          </w:p>
          <w:p w:rsidR="00CD3637" w:rsidRPr="00B15A6C" w:rsidRDefault="00B62E99" w:rsidP="00CD3637">
            <w:pPr>
              <w:numPr>
                <w:ilvl w:val="0"/>
                <w:numId w:val="5"/>
              </w:numPr>
              <w:tabs>
                <w:tab w:val="left" w:pos="3261"/>
              </w:tabs>
              <w:ind w:left="459"/>
              <w:rPr>
                <w:b/>
              </w:rPr>
            </w:pPr>
            <w:r w:rsidRPr="00B15A6C">
              <w:rPr>
                <w:b/>
              </w:rPr>
              <w:t>Ali izvajate pokope v morju?</w:t>
            </w:r>
          </w:p>
          <w:p w:rsidR="005A56FD" w:rsidRDefault="00CD3637" w:rsidP="00911B00">
            <w:pPr>
              <w:tabs>
                <w:tab w:val="left" w:pos="3261"/>
              </w:tabs>
            </w:pPr>
            <w:r>
              <w:t>Da; na podlagi dovoljenja pristojne upravne enote</w:t>
            </w:r>
            <w:r w:rsidR="00B15A6C">
              <w:t xml:space="preserve"> in Uprave RS za pomorstvo lahko izvedemo pokop z raztrosom pepela</w:t>
            </w:r>
            <w:r w:rsidR="007C2F2A">
              <w:t xml:space="preserve"> </w:t>
            </w:r>
            <w:r w:rsidR="00B15A6C">
              <w:t>iz žare v morje.</w:t>
            </w:r>
          </w:p>
          <w:p w:rsidR="00CD3637" w:rsidRDefault="00CD3637" w:rsidP="00CD3637">
            <w:pPr>
              <w:tabs>
                <w:tab w:val="left" w:pos="3261"/>
              </w:tabs>
              <w:ind w:left="99"/>
            </w:pPr>
          </w:p>
          <w:p w:rsidR="005A56FD" w:rsidRPr="00B15A6C" w:rsidRDefault="00B62E99" w:rsidP="00B62E99">
            <w:pPr>
              <w:numPr>
                <w:ilvl w:val="0"/>
                <w:numId w:val="5"/>
              </w:numPr>
              <w:tabs>
                <w:tab w:val="left" w:pos="3261"/>
              </w:tabs>
              <w:ind w:left="459"/>
              <w:rPr>
                <w:b/>
              </w:rPr>
            </w:pPr>
            <w:r w:rsidRPr="00B15A6C">
              <w:rPr>
                <w:b/>
              </w:rPr>
              <w:t>Kdaj so uradne ure v vašem podjetju?</w:t>
            </w:r>
          </w:p>
          <w:p w:rsidR="005D3F49" w:rsidRDefault="005A56FD" w:rsidP="005A56FD">
            <w:pPr>
              <w:tabs>
                <w:tab w:val="left" w:pos="3261"/>
              </w:tabs>
            </w:pPr>
            <w:r>
              <w:t xml:space="preserve">Uradne ure na sedežu podjetja so ob ponedeljkih, sredah in petkih od 8. do 10. ure in od 10.30 do 12. ure. </w:t>
            </w:r>
          </w:p>
          <w:p w:rsidR="005D3F49" w:rsidRDefault="005D3F49" w:rsidP="005A56FD">
            <w:pPr>
              <w:tabs>
                <w:tab w:val="left" w:pos="3261"/>
              </w:tabs>
            </w:pPr>
          </w:p>
          <w:p w:rsidR="00B15A6C" w:rsidRPr="005E10F7" w:rsidRDefault="00B62E99" w:rsidP="005A56FD">
            <w:pPr>
              <w:numPr>
                <w:ilvl w:val="0"/>
                <w:numId w:val="5"/>
              </w:numPr>
              <w:tabs>
                <w:tab w:val="left" w:pos="3261"/>
              </w:tabs>
              <w:ind w:left="459"/>
              <w:rPr>
                <w:b/>
              </w:rPr>
            </w:pPr>
            <w:r w:rsidRPr="005E10F7">
              <w:rPr>
                <w:b/>
              </w:rPr>
              <w:t>Ali lahko plačam račune na sedežu vašega podjetja?</w:t>
            </w:r>
          </w:p>
          <w:p w:rsidR="005A56FD" w:rsidRDefault="005A56FD" w:rsidP="00B15A6C">
            <w:pPr>
              <w:tabs>
                <w:tab w:val="left" w:pos="3261"/>
              </w:tabs>
            </w:pPr>
            <w:r>
              <w:t xml:space="preserve">Račune lahko plačate na sedežu podjetja, in sicer od ponedeljka do petka od 8. do 10. ure in od 10.30 do 14. ure. </w:t>
            </w:r>
          </w:p>
          <w:p w:rsidR="005A56FD" w:rsidRDefault="005A56FD" w:rsidP="005A56FD">
            <w:pPr>
              <w:tabs>
                <w:tab w:val="left" w:pos="3261"/>
              </w:tabs>
            </w:pPr>
          </w:p>
          <w:p w:rsidR="0095440B" w:rsidRPr="00B15A6C" w:rsidRDefault="00B62E99">
            <w:pPr>
              <w:numPr>
                <w:ilvl w:val="0"/>
                <w:numId w:val="5"/>
              </w:numPr>
              <w:tabs>
                <w:tab w:val="left" w:pos="3261"/>
              </w:tabs>
              <w:ind w:left="459"/>
              <w:rPr>
                <w:b/>
              </w:rPr>
            </w:pPr>
            <w:r w:rsidRPr="00B15A6C">
              <w:rPr>
                <w:b/>
              </w:rPr>
              <w:t>Ali prevzemate zeleni rez na domu?</w:t>
            </w:r>
          </w:p>
          <w:p w:rsidR="00B62E99" w:rsidRDefault="00B62E99" w:rsidP="00B62E99">
            <w:pPr>
              <w:tabs>
                <w:tab w:val="left" w:pos="3261"/>
              </w:tabs>
            </w:pPr>
            <w:r>
              <w:t>Vsaka fizična oseba, ki je plačnik storitev ravnanja z odpadki v občini Izola, ima možnost enkrat letno brezplačno naročiti zabojnik za odvoz zelenega reza</w:t>
            </w:r>
            <w:r w:rsidR="00106CF5">
              <w:t>. Po predhodnem obvestilu na Komunalo Izola d.o.o. lahko občani vreče (največ dve vreči) odložijo ob lastnem zabojniku za mešane komunalne odpadke. V kolikor nimate lastnega zabojnika za mešane komunalne odpadke, lahko vreče odložite le na predhodno dogovorjeno mesto.</w:t>
            </w:r>
          </w:p>
          <w:p w:rsidR="00B62E99" w:rsidRDefault="00B62E99" w:rsidP="00B62E99">
            <w:pPr>
              <w:tabs>
                <w:tab w:val="left" w:pos="3261"/>
              </w:tabs>
              <w:ind w:firstLine="720"/>
            </w:pPr>
          </w:p>
          <w:p w:rsidR="0095440B" w:rsidRPr="00B15A6C" w:rsidRDefault="00B62E99">
            <w:pPr>
              <w:numPr>
                <w:ilvl w:val="0"/>
                <w:numId w:val="5"/>
              </w:numPr>
              <w:tabs>
                <w:tab w:val="left" w:pos="3261"/>
              </w:tabs>
              <w:ind w:left="459"/>
              <w:rPr>
                <w:b/>
              </w:rPr>
            </w:pPr>
            <w:r w:rsidRPr="00B15A6C">
              <w:rPr>
                <w:b/>
              </w:rPr>
              <w:t>Kje lahko odložim še delujoče gospodinjske aparate, ki jih ne potrebujem več?</w:t>
            </w:r>
          </w:p>
          <w:p w:rsidR="0095440B" w:rsidRDefault="00106CF5" w:rsidP="00920EB5">
            <w:pPr>
              <w:tabs>
                <w:tab w:val="left" w:pos="3261"/>
              </w:tabs>
            </w:pPr>
            <w:r>
              <w:t xml:space="preserve">Dostavite jih lahko v izolski Center uporabnih predmetov »Staro kot novo«, ki je lociran ob zbirnem centru Izola. </w:t>
            </w:r>
            <w:r w:rsidR="00920EB5">
              <w:t xml:space="preserve">Tukaj se predmet sprejme, po potrebi obnovi in ponudi uporabnikom v brezplačen prevzem. </w:t>
            </w:r>
          </w:p>
          <w:p w:rsidR="00303C89" w:rsidRDefault="00303C89" w:rsidP="00920EB5">
            <w:pPr>
              <w:tabs>
                <w:tab w:val="left" w:pos="3261"/>
              </w:tabs>
            </w:pPr>
          </w:p>
          <w:p w:rsidR="00303C89" w:rsidRPr="001B1AFE" w:rsidRDefault="00A27308" w:rsidP="00303C89">
            <w:pPr>
              <w:pStyle w:val="Odstavekseznama"/>
              <w:numPr>
                <w:ilvl w:val="0"/>
                <w:numId w:val="5"/>
              </w:numPr>
              <w:tabs>
                <w:tab w:val="left" w:pos="3261"/>
              </w:tabs>
              <w:rPr>
                <w:b/>
              </w:rPr>
            </w:pPr>
            <w:r>
              <w:rPr>
                <w:b/>
              </w:rPr>
              <w:t>Ali je kakšen prost poslovni prostor na razpolago?</w:t>
            </w:r>
          </w:p>
          <w:p w:rsidR="001B1AFE" w:rsidRDefault="00A27308" w:rsidP="001B1AFE">
            <w:pPr>
              <w:tabs>
                <w:tab w:val="left" w:pos="3261"/>
              </w:tabs>
            </w:pPr>
            <w:r>
              <w:t>Stranki predstavimo proste poslovne prostore (lokacija, namembnost, višina najemnine, površina) ter ji predstavimo postopek oddaje – odvisno od višine najemnine: javno zbiranje ponudb ali neposredna oddaja</w:t>
            </w:r>
            <w:r w:rsidR="007F11B8">
              <w:t>. Ponudimo ji možnost, da jo o objavi javnega zbiranja ponudb obvestimo.</w:t>
            </w:r>
          </w:p>
          <w:p w:rsidR="00303C89" w:rsidRDefault="00303C89" w:rsidP="00303C89">
            <w:pPr>
              <w:tabs>
                <w:tab w:val="left" w:pos="3261"/>
              </w:tabs>
            </w:pPr>
          </w:p>
          <w:p w:rsidR="00303C89" w:rsidRPr="001B1AFE" w:rsidRDefault="001B1AFE" w:rsidP="00303C89">
            <w:pPr>
              <w:pStyle w:val="Odstavekseznama"/>
              <w:numPr>
                <w:ilvl w:val="0"/>
                <w:numId w:val="5"/>
              </w:numPr>
              <w:tabs>
                <w:tab w:val="left" w:pos="3261"/>
              </w:tabs>
              <w:rPr>
                <w:b/>
              </w:rPr>
            </w:pPr>
            <w:r w:rsidRPr="001B1AFE">
              <w:rPr>
                <w:b/>
              </w:rPr>
              <w:t>Potrebujem stanovanje, ali lahko dobim kakšnega v najem?</w:t>
            </w:r>
          </w:p>
          <w:p w:rsidR="001B1AFE" w:rsidRDefault="001B1AFE" w:rsidP="001B1AFE">
            <w:r>
              <w:t xml:space="preserve">Splošni pogoji za upravičenost do dodelitve neprofitnega stanovanja v najem so slovensko državljanstvo, stalno bivanje v Izoli ter dejstvo, da prosilec ni lastnik drugega premoženja in nepremičnin </w:t>
            </w:r>
            <w:r w:rsidR="00A27308">
              <w:t>ter da</w:t>
            </w:r>
            <w:r>
              <w:t xml:space="preserve"> izpolnjuje dohodkovne cenzuse.</w:t>
            </w:r>
            <w:r w:rsidR="00EA06AD">
              <w:t xml:space="preserve"> </w:t>
            </w:r>
          </w:p>
          <w:p w:rsidR="001B1AFE" w:rsidRDefault="001B1AFE" w:rsidP="003C0054">
            <w:r>
              <w:t>Razpis se objavi v sredstvih javnega obveščanja, ko upravljalec razpolaga z večjo količino praznih stanovanj. Prijava se odda na predpisanem obrazcu.</w:t>
            </w:r>
            <w:r w:rsidR="007976FD">
              <w:t xml:space="preserve"> </w:t>
            </w:r>
            <w:r w:rsidR="00214547">
              <w:t xml:space="preserve">Po proučitvi in točkovanju vlog, </w:t>
            </w:r>
            <w:r w:rsidR="00EA06AD">
              <w:t>se</w:t>
            </w:r>
            <w:r w:rsidR="00214547">
              <w:t xml:space="preserve"> udeleženc</w:t>
            </w:r>
            <w:r w:rsidR="00EA06AD">
              <w:t xml:space="preserve">e </w:t>
            </w:r>
            <w:r w:rsidR="00214547">
              <w:t xml:space="preserve"> razpisa, glede na število toč</w:t>
            </w:r>
            <w:r w:rsidR="00214547">
              <w:t>k, uvr</w:t>
            </w:r>
            <w:r w:rsidR="00C44204">
              <w:t>sti</w:t>
            </w:r>
            <w:bookmarkStart w:id="0" w:name="_GoBack"/>
            <w:bookmarkEnd w:id="0"/>
            <w:r w:rsidR="00214547">
              <w:t xml:space="preserve"> na prednostno listo.</w:t>
            </w:r>
            <w:r w:rsidR="007976FD">
              <w:t xml:space="preserve"> Uspelim upravičencem, ki dosežejo največ točk se izda sklep o dodelitvi stanovanja, ki je podlaga za sklenitev najemne pogodbe.</w:t>
            </w:r>
          </w:p>
          <w:p w:rsidR="001B1AFE" w:rsidRDefault="001B1AFE" w:rsidP="001B1AFE">
            <w:pPr>
              <w:pStyle w:val="Odstavekseznama"/>
              <w:tabs>
                <w:tab w:val="left" w:pos="3261"/>
              </w:tabs>
              <w:ind w:left="644"/>
            </w:pPr>
          </w:p>
        </w:tc>
      </w:tr>
    </w:tbl>
    <w:p w:rsidR="003C0054" w:rsidRDefault="003C0054" w:rsidP="003C0054"/>
    <w:p w:rsidR="003C0054" w:rsidRDefault="003C0054" w:rsidP="003C0054"/>
    <w:sectPr w:rsidR="003C0054" w:rsidSect="00FE1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917"/>
    <w:multiLevelType w:val="hybridMultilevel"/>
    <w:tmpl w:val="A7C22B8A"/>
    <w:lvl w:ilvl="0" w:tplc="04240003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9149B"/>
    <w:multiLevelType w:val="hybridMultilevel"/>
    <w:tmpl w:val="513AA45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52C65"/>
    <w:multiLevelType w:val="hybridMultilevel"/>
    <w:tmpl w:val="C0AAE346"/>
    <w:lvl w:ilvl="0" w:tplc="D790378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274A8"/>
    <w:multiLevelType w:val="hybridMultilevel"/>
    <w:tmpl w:val="4FD4C66C"/>
    <w:lvl w:ilvl="0" w:tplc="AA144AFE">
      <w:start w:val="1"/>
      <w:numFmt w:val="decimal"/>
      <w:lvlText w:val="%1."/>
      <w:lvlJc w:val="left"/>
      <w:pPr>
        <w:ind w:left="678" w:hanging="360"/>
      </w:pPr>
      <w:rPr>
        <w:rFonts w:hint="default"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98" w:hanging="360"/>
      </w:pPr>
    </w:lvl>
    <w:lvl w:ilvl="2" w:tplc="0424001B" w:tentative="1">
      <w:start w:val="1"/>
      <w:numFmt w:val="lowerRoman"/>
      <w:lvlText w:val="%3."/>
      <w:lvlJc w:val="right"/>
      <w:pPr>
        <w:ind w:left="2118" w:hanging="180"/>
      </w:pPr>
    </w:lvl>
    <w:lvl w:ilvl="3" w:tplc="0424000F" w:tentative="1">
      <w:start w:val="1"/>
      <w:numFmt w:val="decimal"/>
      <w:lvlText w:val="%4."/>
      <w:lvlJc w:val="left"/>
      <w:pPr>
        <w:ind w:left="2838" w:hanging="360"/>
      </w:pPr>
    </w:lvl>
    <w:lvl w:ilvl="4" w:tplc="04240019" w:tentative="1">
      <w:start w:val="1"/>
      <w:numFmt w:val="lowerLetter"/>
      <w:lvlText w:val="%5."/>
      <w:lvlJc w:val="left"/>
      <w:pPr>
        <w:ind w:left="3558" w:hanging="360"/>
      </w:pPr>
    </w:lvl>
    <w:lvl w:ilvl="5" w:tplc="0424001B" w:tentative="1">
      <w:start w:val="1"/>
      <w:numFmt w:val="lowerRoman"/>
      <w:lvlText w:val="%6."/>
      <w:lvlJc w:val="right"/>
      <w:pPr>
        <w:ind w:left="4278" w:hanging="180"/>
      </w:pPr>
    </w:lvl>
    <w:lvl w:ilvl="6" w:tplc="0424000F" w:tentative="1">
      <w:start w:val="1"/>
      <w:numFmt w:val="decimal"/>
      <w:lvlText w:val="%7."/>
      <w:lvlJc w:val="left"/>
      <w:pPr>
        <w:ind w:left="4998" w:hanging="360"/>
      </w:pPr>
    </w:lvl>
    <w:lvl w:ilvl="7" w:tplc="04240019" w:tentative="1">
      <w:start w:val="1"/>
      <w:numFmt w:val="lowerLetter"/>
      <w:lvlText w:val="%8."/>
      <w:lvlJc w:val="left"/>
      <w:pPr>
        <w:ind w:left="5718" w:hanging="360"/>
      </w:pPr>
    </w:lvl>
    <w:lvl w:ilvl="8" w:tplc="0424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 w15:restartNumberingAfterBreak="0">
    <w:nsid w:val="2B7F7592"/>
    <w:multiLevelType w:val="hybridMultilevel"/>
    <w:tmpl w:val="724EBCAE"/>
    <w:lvl w:ilvl="0" w:tplc="3E0A8BB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C5445"/>
    <w:multiLevelType w:val="hybridMultilevel"/>
    <w:tmpl w:val="5DCE0900"/>
    <w:lvl w:ilvl="0" w:tplc="39106BF0">
      <w:numFmt w:val="bullet"/>
      <w:lvlText w:val="-"/>
      <w:lvlJc w:val="left"/>
      <w:pPr>
        <w:ind w:left="678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6" w15:restartNumberingAfterBreak="0">
    <w:nsid w:val="49E77445"/>
    <w:multiLevelType w:val="hybridMultilevel"/>
    <w:tmpl w:val="35B6F9BE"/>
    <w:lvl w:ilvl="0" w:tplc="EF008B0C">
      <w:start w:val="1"/>
      <w:numFmt w:val="bullet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36FC3"/>
    <w:multiLevelType w:val="hybridMultilevel"/>
    <w:tmpl w:val="F0DE3E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B091F"/>
    <w:multiLevelType w:val="hybridMultilevel"/>
    <w:tmpl w:val="34006F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FF3A2A"/>
    <w:multiLevelType w:val="multilevel"/>
    <w:tmpl w:val="80BC4A14"/>
    <w:lvl w:ilvl="0"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0095407"/>
    <w:multiLevelType w:val="hybridMultilevel"/>
    <w:tmpl w:val="ED08DFB6"/>
    <w:lvl w:ilvl="0" w:tplc="C9FEB2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63C0B"/>
    <w:multiLevelType w:val="multilevel"/>
    <w:tmpl w:val="8796FE6E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44"/>
        </w:tabs>
        <w:ind w:left="104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7B1A5942"/>
    <w:multiLevelType w:val="hybridMultilevel"/>
    <w:tmpl w:val="4E9ACB1A"/>
    <w:lvl w:ilvl="0" w:tplc="0424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  <w:num w:numId="11">
    <w:abstractNumId w:val="2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0B"/>
    <w:rsid w:val="00077C93"/>
    <w:rsid w:val="000801D6"/>
    <w:rsid w:val="00086536"/>
    <w:rsid w:val="000B64E5"/>
    <w:rsid w:val="000C237F"/>
    <w:rsid w:val="000C6345"/>
    <w:rsid w:val="000F7087"/>
    <w:rsid w:val="00106CF5"/>
    <w:rsid w:val="00172F2E"/>
    <w:rsid w:val="00187982"/>
    <w:rsid w:val="001B1AFE"/>
    <w:rsid w:val="001C56E2"/>
    <w:rsid w:val="00201660"/>
    <w:rsid w:val="00203088"/>
    <w:rsid w:val="00214547"/>
    <w:rsid w:val="002A0135"/>
    <w:rsid w:val="00303C89"/>
    <w:rsid w:val="00331127"/>
    <w:rsid w:val="00332D1E"/>
    <w:rsid w:val="00372399"/>
    <w:rsid w:val="003A6CF1"/>
    <w:rsid w:val="003A7F21"/>
    <w:rsid w:val="003C0054"/>
    <w:rsid w:val="004029C7"/>
    <w:rsid w:val="0041351E"/>
    <w:rsid w:val="00415900"/>
    <w:rsid w:val="00425B3A"/>
    <w:rsid w:val="00436EFF"/>
    <w:rsid w:val="00437501"/>
    <w:rsid w:val="00453C04"/>
    <w:rsid w:val="00461B1D"/>
    <w:rsid w:val="0048527E"/>
    <w:rsid w:val="004D26F3"/>
    <w:rsid w:val="005419B9"/>
    <w:rsid w:val="00587389"/>
    <w:rsid w:val="005945F5"/>
    <w:rsid w:val="005A56FD"/>
    <w:rsid w:val="005C4D44"/>
    <w:rsid w:val="005D3F49"/>
    <w:rsid w:val="005E10F7"/>
    <w:rsid w:val="00610C1D"/>
    <w:rsid w:val="0061116A"/>
    <w:rsid w:val="006B53E9"/>
    <w:rsid w:val="00733C79"/>
    <w:rsid w:val="0077189D"/>
    <w:rsid w:val="0077197B"/>
    <w:rsid w:val="007976FD"/>
    <w:rsid w:val="007B762E"/>
    <w:rsid w:val="007C2F2A"/>
    <w:rsid w:val="007F11B8"/>
    <w:rsid w:val="007F3F96"/>
    <w:rsid w:val="00814F39"/>
    <w:rsid w:val="008579D6"/>
    <w:rsid w:val="00862476"/>
    <w:rsid w:val="00866F59"/>
    <w:rsid w:val="008673D2"/>
    <w:rsid w:val="00884DEE"/>
    <w:rsid w:val="008A0874"/>
    <w:rsid w:val="008A62CF"/>
    <w:rsid w:val="008B5AA9"/>
    <w:rsid w:val="008E3C20"/>
    <w:rsid w:val="008F5AEA"/>
    <w:rsid w:val="00911B00"/>
    <w:rsid w:val="00920EB5"/>
    <w:rsid w:val="0092155F"/>
    <w:rsid w:val="00936ED9"/>
    <w:rsid w:val="009403D4"/>
    <w:rsid w:val="0095309E"/>
    <w:rsid w:val="0095440B"/>
    <w:rsid w:val="009979DD"/>
    <w:rsid w:val="009B1481"/>
    <w:rsid w:val="009C1ABE"/>
    <w:rsid w:val="009E3712"/>
    <w:rsid w:val="009F7845"/>
    <w:rsid w:val="00A2116A"/>
    <w:rsid w:val="00A27308"/>
    <w:rsid w:val="00AE12BB"/>
    <w:rsid w:val="00AE696A"/>
    <w:rsid w:val="00B15A6C"/>
    <w:rsid w:val="00B25CB5"/>
    <w:rsid w:val="00B55D67"/>
    <w:rsid w:val="00B62E99"/>
    <w:rsid w:val="00B67BCC"/>
    <w:rsid w:val="00B856EB"/>
    <w:rsid w:val="00B875EC"/>
    <w:rsid w:val="00BB67C7"/>
    <w:rsid w:val="00C1340F"/>
    <w:rsid w:val="00C44204"/>
    <w:rsid w:val="00C66D1B"/>
    <w:rsid w:val="00CB0452"/>
    <w:rsid w:val="00CD3637"/>
    <w:rsid w:val="00D01DD5"/>
    <w:rsid w:val="00D06766"/>
    <w:rsid w:val="00D231A6"/>
    <w:rsid w:val="00D67BAC"/>
    <w:rsid w:val="00D86052"/>
    <w:rsid w:val="00DE7B73"/>
    <w:rsid w:val="00DF568C"/>
    <w:rsid w:val="00E024C7"/>
    <w:rsid w:val="00E15A43"/>
    <w:rsid w:val="00E77759"/>
    <w:rsid w:val="00EA06AD"/>
    <w:rsid w:val="00EB0CBA"/>
    <w:rsid w:val="00EE1EE0"/>
    <w:rsid w:val="00F1048A"/>
    <w:rsid w:val="00F44813"/>
    <w:rsid w:val="00F61D48"/>
    <w:rsid w:val="00F75CD5"/>
    <w:rsid w:val="00F84B5F"/>
    <w:rsid w:val="00FB1386"/>
    <w:rsid w:val="00FC4B36"/>
    <w:rsid w:val="00FE145F"/>
    <w:rsid w:val="00FE1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D21B0"/>
  <w15:docId w15:val="{58A4AEA6-F8CE-4572-80F5-26E925F8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145F"/>
    <w:pPr>
      <w:widowControl w:val="0"/>
      <w:jc w:val="both"/>
    </w:pPr>
    <w:rPr>
      <w:rFonts w:ascii="Tahoma" w:hAnsi="Tahoma"/>
    </w:rPr>
  </w:style>
  <w:style w:type="paragraph" w:styleId="Naslov1">
    <w:name w:val="heading 1"/>
    <w:basedOn w:val="Navaden"/>
    <w:next w:val="Navaden"/>
    <w:qFormat/>
    <w:rsid w:val="00FE145F"/>
    <w:pPr>
      <w:keepNext/>
      <w:pageBreakBefore/>
      <w:numPr>
        <w:numId w:val="2"/>
      </w:numPr>
      <w:pBdr>
        <w:bottom w:val="outset" w:sz="6" w:space="1" w:color="auto"/>
      </w:pBdr>
      <w:spacing w:before="600" w:after="360" w:line="360" w:lineRule="atLeast"/>
      <w:outlineLvl w:val="0"/>
    </w:pPr>
    <w:rPr>
      <w:rFonts w:cs="Tahoma"/>
      <w:b/>
      <w:bCs/>
      <w:kern w:val="32"/>
      <w:sz w:val="32"/>
      <w:szCs w:val="32"/>
      <w:lang w:eastAsia="en-US"/>
    </w:rPr>
  </w:style>
  <w:style w:type="paragraph" w:styleId="Naslov2">
    <w:name w:val="heading 2"/>
    <w:basedOn w:val="Navaden"/>
    <w:next w:val="Navaden"/>
    <w:qFormat/>
    <w:rsid w:val="00FE145F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yleHeading2">
    <w:name w:val="Style Heading 2"/>
    <w:basedOn w:val="Naslov2"/>
    <w:autoRedefine/>
    <w:rsid w:val="00FE145F"/>
    <w:pPr>
      <w:tabs>
        <w:tab w:val="left" w:pos="567"/>
      </w:tabs>
      <w:spacing w:before="200" w:after="240" w:line="320" w:lineRule="atLeast"/>
    </w:pPr>
    <w:rPr>
      <w:rFonts w:ascii="Tahoma" w:hAnsi="Tahoma" w:cs="Times New Roman"/>
      <w:i w:val="0"/>
      <w:iCs w:val="0"/>
      <w:szCs w:val="20"/>
    </w:rPr>
  </w:style>
  <w:style w:type="paragraph" w:styleId="Glava">
    <w:name w:val="header"/>
    <w:basedOn w:val="Navaden"/>
    <w:rsid w:val="00FE145F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rsid w:val="00FE145F"/>
    <w:pPr>
      <w:widowControl/>
      <w:autoSpaceDE w:val="0"/>
      <w:autoSpaceDN w:val="0"/>
    </w:pPr>
    <w:rPr>
      <w:rFonts w:ascii="Times New Roman" w:hAnsi="Times New Roman"/>
      <w:szCs w:val="24"/>
      <w:lang w:eastAsia="en-US"/>
    </w:rPr>
  </w:style>
  <w:style w:type="character" w:styleId="Hiperpovezava">
    <w:name w:val="Hyperlink"/>
    <w:basedOn w:val="Privzetapisavaodstavka"/>
    <w:unhideWhenUsed/>
    <w:rsid w:val="00EE1EE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C1ABE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8E3C20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Besedilooblaka">
    <w:name w:val="Balloon Text"/>
    <w:basedOn w:val="Navaden"/>
    <w:link w:val="BesedilooblakaZnak"/>
    <w:semiHidden/>
    <w:unhideWhenUsed/>
    <w:rsid w:val="0061116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61116A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semiHidden/>
    <w:unhideWhenUsed/>
    <w:rsid w:val="00610C1D"/>
    <w:rPr>
      <w:color w:val="800080" w:themeColor="followedHyperlink"/>
      <w:u w:val="single"/>
    </w:rPr>
  </w:style>
  <w:style w:type="paragraph" w:customStyle="1" w:styleId="Znak">
    <w:name w:val="Znak"/>
    <w:basedOn w:val="Navaden"/>
    <w:rsid w:val="005D3F49"/>
    <w:pPr>
      <w:widowControl/>
      <w:jc w:val="left"/>
    </w:pPr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8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" TargetMode="External"/><Relationship Id="rId13" Type="http://schemas.openxmlformats.org/officeDocument/2006/relationships/hyperlink" Target="mailto:tajnistvo@komunala-izola.s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isrs.si/Pis.web/" TargetMode="External"/><Relationship Id="rId12" Type="http://schemas.openxmlformats.org/officeDocument/2006/relationships/hyperlink" Target="http://www.komunala-izola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komunala-izola.si/" TargetMode="External"/><Relationship Id="rId11" Type="http://schemas.openxmlformats.org/officeDocument/2006/relationships/hyperlink" Target="http://www.komunala-izola.s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zola.s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" TargetMode="External"/><Relationship Id="rId14" Type="http://schemas.openxmlformats.org/officeDocument/2006/relationships/hyperlink" Target="http://www.pisrs.si/Pis.web/pregledPredpisa?id=ZAKO3336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2B0A98E-3F5F-477C-809A-BCFE64DDB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1481</Words>
  <Characters>8442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Vzorec kataloga informacij javnega značaja</vt:lpstr>
      <vt:lpstr>Vzorec kataloga informacij javnega značaja</vt:lpstr>
    </vt:vector>
  </TitlesOfParts>
  <Company>MID</Company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Vzorec kataloga informacij javnega značaja</dc:title>
  <dc:creator>Urad za javna naročila</dc:creator>
  <cp:lastModifiedBy>Žibret Anita</cp:lastModifiedBy>
  <cp:revision>6</cp:revision>
  <cp:lastPrinted>2020-06-02T09:57:00Z</cp:lastPrinted>
  <dcterms:created xsi:type="dcterms:W3CDTF">2020-06-01T09:16:00Z</dcterms:created>
  <dcterms:modified xsi:type="dcterms:W3CDTF">2020-06-02T10:10:00Z</dcterms:modified>
</cp:coreProperties>
</file>